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58198" w14:textId="77777777" w:rsidR="005211D4" w:rsidRDefault="005211D4" w:rsidP="0059621B"/>
    <w:p w14:paraId="0EFE0B8D" w14:textId="77777777" w:rsidR="00C76C08" w:rsidRDefault="00C76C08" w:rsidP="0059621B"/>
    <w:p w14:paraId="430DDF16" w14:textId="77777777" w:rsidR="00C76C08" w:rsidRDefault="00C76C08" w:rsidP="0059621B"/>
    <w:p w14:paraId="0634380C" w14:textId="77777777" w:rsidR="00C76C08" w:rsidRDefault="00C76C08" w:rsidP="0059621B"/>
    <w:p w14:paraId="1C56CACD" w14:textId="77777777" w:rsidR="00C76C08" w:rsidRDefault="00C76C08" w:rsidP="0059621B"/>
    <w:p w14:paraId="48AED4EB" w14:textId="77777777" w:rsidR="00C76C08" w:rsidRDefault="00C76C08" w:rsidP="0059621B"/>
    <w:p w14:paraId="762B08EB" w14:textId="77777777" w:rsidR="00C76C08" w:rsidRDefault="00C76C08" w:rsidP="0059621B"/>
    <w:p w14:paraId="6C021F7F" w14:textId="77777777" w:rsidR="00C76C08" w:rsidRDefault="00C76C08" w:rsidP="0059621B"/>
    <w:p w14:paraId="287F3C5B" w14:textId="77777777" w:rsidR="00C76C08" w:rsidRPr="00001A91" w:rsidRDefault="00C76C08" w:rsidP="0059621B"/>
    <w:p w14:paraId="21E94916" w14:textId="77777777" w:rsidR="00AC67C8" w:rsidRDefault="00AC67C8" w:rsidP="0059621B"/>
    <w:p w14:paraId="1BDF222D" w14:textId="77777777" w:rsidR="00C76C08" w:rsidRDefault="00C76C08" w:rsidP="0059621B"/>
    <w:p w14:paraId="4F84F860" w14:textId="77777777" w:rsidR="00C76C08" w:rsidRDefault="00C76C08" w:rsidP="0059621B"/>
    <w:p w14:paraId="08D14FE6" w14:textId="77777777" w:rsidR="00C76C08" w:rsidRDefault="00C76C08" w:rsidP="0059621B"/>
    <w:p w14:paraId="4D34396D" w14:textId="77777777" w:rsidR="00C76C08" w:rsidRDefault="00C76C08" w:rsidP="0059621B"/>
    <w:p w14:paraId="5D07CD5D" w14:textId="77777777" w:rsidR="00C76C08" w:rsidRDefault="00C76C08" w:rsidP="0059621B"/>
    <w:p w14:paraId="343B3438" w14:textId="150D016B" w:rsidR="00C76C08" w:rsidRPr="00977B72" w:rsidRDefault="00A71F27" w:rsidP="00977B72">
      <w:pPr>
        <w:pStyle w:val="Tittel"/>
        <w:spacing w:line="360" w:lineRule="auto"/>
        <w:jc w:val="center"/>
        <w:rPr>
          <w:rFonts w:ascii="Arial" w:hAnsi="Arial" w:cs="Arial"/>
          <w:b/>
          <w:sz w:val="44"/>
          <w:szCs w:val="44"/>
        </w:rPr>
      </w:pPr>
      <w:sdt>
        <w:sdtPr>
          <w:rPr>
            <w:rFonts w:ascii="Arial" w:hAnsi="Arial" w:cs="Arial"/>
            <w:b/>
            <w:sz w:val="44"/>
            <w:szCs w:val="44"/>
          </w:rPr>
          <w:alias w:val="Nr"/>
          <w:tag w:val="Nr"/>
          <w:id w:val="2038312574"/>
          <w:placeholder>
            <w:docPart w:val="03CDAA412CA5405EA48B3720D769620D"/>
          </w:placeholder>
          <w:dataBinding w:xpath="/root[1]/nr[1]" w:storeItemID="{1A469D93-8216-4857-8946-1507A3E0D925}"/>
          <w:text/>
        </w:sdtPr>
        <w:sdtEndPr/>
        <w:sdtContent>
          <w:r w:rsidR="00C76C08" w:rsidRPr="00977B72">
            <w:rPr>
              <w:rFonts w:ascii="Arial" w:hAnsi="Arial" w:cs="Arial"/>
              <w:b/>
              <w:sz w:val="44"/>
              <w:szCs w:val="44"/>
            </w:rPr>
            <w:t>06</w:t>
          </w:r>
        </w:sdtContent>
      </w:sdt>
      <w:r w:rsidR="00977B72">
        <w:rPr>
          <w:rFonts w:ascii="Arial" w:hAnsi="Arial" w:cs="Arial"/>
          <w:b/>
          <w:sz w:val="44"/>
          <w:szCs w:val="44"/>
        </w:rPr>
        <w:t xml:space="preserve"> - </w:t>
      </w:r>
      <w:r w:rsidR="00C76C08" w:rsidRPr="00977B72">
        <w:rPr>
          <w:rFonts w:ascii="Arial" w:hAnsi="Arial" w:cs="Arial"/>
          <w:b/>
          <w:sz w:val="44"/>
          <w:szCs w:val="44"/>
        </w:rPr>
        <w:t>Norsk olje og gass</w:t>
      </w:r>
    </w:p>
    <w:p w14:paraId="5E4F14EB" w14:textId="77777777" w:rsidR="00C76C08" w:rsidRPr="00977B72" w:rsidRDefault="00C76C08" w:rsidP="00977B72">
      <w:pPr>
        <w:pStyle w:val="Tittel"/>
        <w:spacing w:line="360" w:lineRule="auto"/>
        <w:jc w:val="center"/>
        <w:rPr>
          <w:rFonts w:ascii="Arial" w:hAnsi="Arial" w:cs="Arial"/>
          <w:b/>
          <w:sz w:val="44"/>
          <w:szCs w:val="44"/>
        </w:rPr>
      </w:pPr>
      <w:r w:rsidRPr="00977B72">
        <w:rPr>
          <w:rFonts w:ascii="Arial" w:hAnsi="Arial" w:cs="Arial"/>
          <w:b/>
          <w:sz w:val="44"/>
          <w:szCs w:val="44"/>
        </w:rPr>
        <w:t>Anbefalt modellavtale</w:t>
      </w:r>
    </w:p>
    <w:sdt>
      <w:sdtPr>
        <w:rPr>
          <w:rFonts w:ascii="Arial" w:hAnsi="Arial" w:cs="Arial"/>
          <w:b/>
          <w:sz w:val="44"/>
          <w:szCs w:val="44"/>
        </w:rPr>
        <w:alias w:val="Legg inn tema"/>
        <w:tag w:val="Legg inn tema"/>
        <w:id w:val="-1030406373"/>
        <w:placeholder>
          <w:docPart w:val="B4CFDE08159B40D1A2692460F858CF3A"/>
        </w:placeholder>
        <w:dataBinding w:xpath="/root[1]/tema[1]" w:storeItemID="{1A469D93-8216-4857-8946-1507A3E0D925}"/>
        <w:text/>
      </w:sdtPr>
      <w:sdtEndPr/>
      <w:sdtContent>
        <w:p w14:paraId="205326D0" w14:textId="1AE26DA4" w:rsidR="00C76C08" w:rsidRPr="00977B72" w:rsidRDefault="00C76C08" w:rsidP="00977B72">
          <w:pPr>
            <w:spacing w:line="360" w:lineRule="auto"/>
            <w:jc w:val="center"/>
            <w:rPr>
              <w:rFonts w:ascii="Arial" w:hAnsi="Arial" w:cs="Arial"/>
              <w:b/>
              <w:sz w:val="44"/>
              <w:szCs w:val="44"/>
            </w:rPr>
          </w:pPr>
          <w:r w:rsidRPr="00977B72">
            <w:rPr>
              <w:rFonts w:ascii="Arial" w:hAnsi="Arial" w:cs="Arial"/>
              <w:b/>
              <w:sz w:val="44"/>
              <w:szCs w:val="44"/>
            </w:rPr>
            <w:t xml:space="preserve">AMI for bruk på Norsk sokkel </w:t>
          </w:r>
        </w:p>
      </w:sdtContent>
    </w:sdt>
    <w:p w14:paraId="2C62FDE3" w14:textId="77777777" w:rsidR="00C76C08" w:rsidRPr="00977B72" w:rsidRDefault="00C76C08" w:rsidP="00977B72">
      <w:pPr>
        <w:spacing w:line="360" w:lineRule="auto"/>
        <w:rPr>
          <w:b/>
        </w:rPr>
      </w:pPr>
    </w:p>
    <w:p w14:paraId="0E63296B" w14:textId="77777777" w:rsidR="00C76C08" w:rsidRPr="00977B72" w:rsidRDefault="00C76C08" w:rsidP="00977B72">
      <w:pPr>
        <w:spacing w:line="360" w:lineRule="auto"/>
        <w:rPr>
          <w:b/>
        </w:rPr>
      </w:pPr>
    </w:p>
    <w:p w14:paraId="30F50DF4" w14:textId="77777777" w:rsidR="00C76C08" w:rsidRDefault="00C76C08" w:rsidP="0059621B"/>
    <w:p w14:paraId="4A4D4F79" w14:textId="77777777" w:rsidR="00C76C08" w:rsidRDefault="00C76C08" w:rsidP="0059621B"/>
    <w:p w14:paraId="6F44B7CB" w14:textId="77777777" w:rsidR="00C76C08" w:rsidRDefault="00C76C08" w:rsidP="0059621B"/>
    <w:p w14:paraId="1F91F343" w14:textId="77777777" w:rsidR="00C76C08" w:rsidRDefault="00C76C08" w:rsidP="0059621B"/>
    <w:p w14:paraId="2A18A16B" w14:textId="77777777" w:rsidR="00C76C08" w:rsidRDefault="00C76C08" w:rsidP="0059621B"/>
    <w:p w14:paraId="26ED122D" w14:textId="77777777" w:rsidR="00C76C08" w:rsidRDefault="00C76C08" w:rsidP="0059621B"/>
    <w:p w14:paraId="2529B5D7" w14:textId="77777777" w:rsidR="00C76C08" w:rsidRDefault="00C76C08" w:rsidP="0059621B"/>
    <w:p w14:paraId="786BF3F2" w14:textId="77777777" w:rsidR="00C76C08" w:rsidRDefault="00C76C08" w:rsidP="0059621B"/>
    <w:p w14:paraId="3B4FD1E8" w14:textId="77777777" w:rsidR="00C76C08" w:rsidRDefault="00C76C08" w:rsidP="0059621B"/>
    <w:p w14:paraId="22CC23B7" w14:textId="77777777" w:rsidR="00C76C08" w:rsidRDefault="00C76C08" w:rsidP="0059621B"/>
    <w:p w14:paraId="38A39F75" w14:textId="4A0E840F" w:rsidR="00C76C08" w:rsidRPr="00E32FC1" w:rsidRDefault="00E32FC1" w:rsidP="00E32FC1">
      <w:pPr>
        <w:jc w:val="center"/>
      </w:pPr>
      <w:r w:rsidRPr="00E35D83">
        <w:rPr>
          <w:noProof/>
          <w:lang w:eastAsia="nb-NO"/>
        </w:rPr>
        <w:drawing>
          <wp:inline distT="0" distB="0" distL="0" distR="0" wp14:anchorId="499DB323" wp14:editId="6ED337DC">
            <wp:extent cx="2636520" cy="1478280"/>
            <wp:effectExtent l="0" t="0" r="0" b="7620"/>
            <wp:docPr id="1" name="Bilde 1" descr="Beskrivelse: Macintosh HD:Users:Shared:OLF-Delt:0Rebrand:Maler:Originaler:skjermlogoer:logo_positiv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eskrivelse: Macintosh HD:Users:Shared:OLF-Delt:0Rebrand:Maler:Originaler:skjermlogoer:logo_positiv_sto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6520" cy="1478280"/>
                    </a:xfrm>
                    <a:prstGeom prst="rect">
                      <a:avLst/>
                    </a:prstGeom>
                    <a:noFill/>
                    <a:ln>
                      <a:noFill/>
                    </a:ln>
                  </pic:spPr>
                </pic:pic>
              </a:graphicData>
            </a:graphic>
          </wp:inline>
        </w:drawing>
      </w:r>
    </w:p>
    <w:p w14:paraId="78291FF2" w14:textId="77777777" w:rsidR="00C76C08" w:rsidRDefault="00C76C08" w:rsidP="00C76C08">
      <w:pPr>
        <w:rPr>
          <w:rFonts w:ascii="Times New Roman" w:hAnsi="Times New Roman"/>
          <w:sz w:val="22"/>
        </w:rPr>
      </w:pPr>
    </w:p>
    <w:p w14:paraId="5CBB7BF3" w14:textId="77777777" w:rsidR="00C76C08" w:rsidRDefault="00C76C08" w:rsidP="00C76C08">
      <w:pPr>
        <w:rPr>
          <w:rFonts w:ascii="Times New Roman" w:hAnsi="Times New Roman"/>
          <w:sz w:val="22"/>
        </w:rPr>
      </w:pPr>
    </w:p>
    <w:p w14:paraId="1F8F0EFE" w14:textId="77777777" w:rsidR="00C76C08" w:rsidRDefault="00C76C08" w:rsidP="00C76C08">
      <w:pPr>
        <w:rPr>
          <w:rFonts w:ascii="Times New Roman" w:hAnsi="Times New Roman"/>
          <w:sz w:val="22"/>
        </w:rPr>
      </w:pPr>
    </w:p>
    <w:p w14:paraId="4E3EE776" w14:textId="77777777" w:rsidR="00C76C08" w:rsidRDefault="00C76C08" w:rsidP="00C76C08">
      <w:pPr>
        <w:rPr>
          <w:rFonts w:ascii="Times New Roman" w:hAnsi="Times New Roman"/>
          <w:sz w:val="22"/>
        </w:rPr>
      </w:pPr>
    </w:p>
    <w:p w14:paraId="5E4274C1" w14:textId="77777777" w:rsidR="00C76C08" w:rsidRDefault="00C76C08" w:rsidP="00C76C08">
      <w:pPr>
        <w:rPr>
          <w:rFonts w:ascii="Times New Roman" w:hAnsi="Times New Roman"/>
          <w:sz w:val="22"/>
        </w:rPr>
      </w:pPr>
    </w:p>
    <w:p w14:paraId="3685F69E" w14:textId="77777777" w:rsidR="00C76C08" w:rsidRDefault="00C76C08" w:rsidP="00C76C08">
      <w:pPr>
        <w:rPr>
          <w:rFonts w:ascii="Times New Roman" w:hAnsi="Times New Roman"/>
          <w:sz w:val="22"/>
        </w:rPr>
      </w:pPr>
    </w:p>
    <w:p w14:paraId="4C52D175" w14:textId="77777777" w:rsidR="00C76C08" w:rsidRDefault="00C76C08" w:rsidP="00C76C08">
      <w:pPr>
        <w:rPr>
          <w:rFonts w:ascii="Times New Roman" w:hAnsi="Times New Roman"/>
          <w:sz w:val="22"/>
        </w:rPr>
      </w:pPr>
    </w:p>
    <w:p w14:paraId="203A48FA" w14:textId="77777777" w:rsidR="00C76C08" w:rsidRDefault="00C76C08" w:rsidP="00C76C08">
      <w:pPr>
        <w:rPr>
          <w:rFonts w:ascii="Times New Roman" w:hAnsi="Times New Roman"/>
          <w:sz w:val="22"/>
        </w:rPr>
      </w:pPr>
    </w:p>
    <w:p w14:paraId="770E5FA1" w14:textId="77777777" w:rsidR="00C76C08" w:rsidRDefault="00C76C08" w:rsidP="00C76C08">
      <w:pPr>
        <w:rPr>
          <w:rFonts w:ascii="Times New Roman" w:hAnsi="Times New Roman"/>
          <w:sz w:val="22"/>
        </w:rPr>
      </w:pPr>
    </w:p>
    <w:p w14:paraId="727EE715" w14:textId="77777777" w:rsidR="00C76C08" w:rsidRDefault="00C76C08" w:rsidP="00C76C08">
      <w:pPr>
        <w:rPr>
          <w:rFonts w:ascii="Times New Roman" w:hAnsi="Times New Roman"/>
          <w:sz w:val="22"/>
        </w:rPr>
      </w:pPr>
    </w:p>
    <w:p w14:paraId="1B19C479" w14:textId="77777777" w:rsidR="00C76C08" w:rsidRDefault="00C76C08" w:rsidP="00C76C08">
      <w:pPr>
        <w:rPr>
          <w:rFonts w:ascii="Times New Roman" w:hAnsi="Times New Roman"/>
          <w:sz w:val="22"/>
        </w:rPr>
      </w:pPr>
    </w:p>
    <w:p w14:paraId="376A01C3" w14:textId="0A31C5CF" w:rsidR="00C76C08" w:rsidRDefault="00C76C08" w:rsidP="00C76C08">
      <w:pPr>
        <w:rPr>
          <w:rFonts w:ascii="Times New Roman" w:hAnsi="Times New Roman"/>
        </w:rPr>
        <w:sectPr w:rsidR="00C76C08" w:rsidSect="00C76C08">
          <w:headerReference w:type="even" r:id="rId15"/>
          <w:headerReference w:type="default" r:id="rId16"/>
          <w:footerReference w:type="even" r:id="rId17"/>
          <w:footerReference w:type="default" r:id="rId18"/>
          <w:headerReference w:type="first" r:id="rId19"/>
          <w:footerReference w:type="first" r:id="rId20"/>
          <w:pgSz w:w="11907" w:h="16840"/>
          <w:pgMar w:top="567" w:right="1134" w:bottom="1440" w:left="1418" w:header="822" w:footer="340" w:gutter="0"/>
          <w:pgNumType w:start="0"/>
          <w:cols w:space="708"/>
          <w:titlePg/>
          <w:docGrid w:linePitch="272"/>
        </w:sectPr>
      </w:pPr>
      <w:r>
        <w:rPr>
          <w:rFonts w:ascii="Times New Roman" w:hAnsi="Times New Roman"/>
          <w:sz w:val="22"/>
        </w:rPr>
        <w:lastRenderedPageBreak/>
        <w:t>Norsk olje og gass er en interesse- og arbeidsgiverorganisasjon for oljeselskaper og leverandørbedrifter knyttet til utforskning og produksjon av olje og gass på norsk kontinentalsokkel. Norsk olje og gass er tilsluttet Næringslivets Hovedorganisasjon. www.norskoljeoggass.no</w:t>
      </w:r>
    </w:p>
    <w:p w14:paraId="24D97811" w14:textId="77777777" w:rsidR="00AC67C8" w:rsidRPr="00DF2A9E" w:rsidRDefault="006D4E28" w:rsidP="006D4E28">
      <w:pPr>
        <w:pStyle w:val="UnrOverskrift1"/>
        <w:rPr>
          <w:lang w:val="nn-NO"/>
        </w:rPr>
      </w:pPr>
      <w:bookmarkStart w:id="1" w:name="_Toc377708922"/>
      <w:r w:rsidRPr="00DF2A9E">
        <w:rPr>
          <w:lang w:val="nn-NO"/>
        </w:rPr>
        <w:lastRenderedPageBreak/>
        <w:t>Forord</w:t>
      </w:r>
      <w:bookmarkEnd w:id="1"/>
    </w:p>
    <w:p w14:paraId="2BF03E6C" w14:textId="4F9EB17D" w:rsidR="00C918F4" w:rsidRPr="00C918F4" w:rsidRDefault="007937C1" w:rsidP="007836EA">
      <w:pPr>
        <w:rPr>
          <w:sz w:val="24"/>
          <w:lang w:val="nn-NO"/>
        </w:rPr>
      </w:pPr>
      <w:r>
        <w:rPr>
          <w:sz w:val="24"/>
          <w:lang w:val="nn-NO"/>
        </w:rPr>
        <w:t>Denne modellavtalen</w:t>
      </w:r>
      <w:r w:rsidR="00C918F4" w:rsidRPr="00C918F4">
        <w:rPr>
          <w:sz w:val="24"/>
          <w:lang w:val="nn-NO"/>
        </w:rPr>
        <w:t xml:space="preserve"> er utarbeidet av en arbeidsgruppe </w:t>
      </w:r>
      <w:proofErr w:type="spellStart"/>
      <w:r w:rsidR="00C918F4" w:rsidRPr="00C918F4">
        <w:rPr>
          <w:sz w:val="24"/>
          <w:lang w:val="nn-NO"/>
        </w:rPr>
        <w:t>nedsatt</w:t>
      </w:r>
      <w:proofErr w:type="spellEnd"/>
      <w:r w:rsidR="00C918F4" w:rsidRPr="00C918F4">
        <w:rPr>
          <w:sz w:val="24"/>
          <w:lang w:val="nn-NO"/>
        </w:rPr>
        <w:t xml:space="preserve"> av Juridisk </w:t>
      </w:r>
      <w:proofErr w:type="spellStart"/>
      <w:r w:rsidR="00C918F4" w:rsidRPr="00C918F4">
        <w:rPr>
          <w:sz w:val="24"/>
          <w:lang w:val="nn-NO"/>
        </w:rPr>
        <w:t>utvalg</w:t>
      </w:r>
      <w:proofErr w:type="spellEnd"/>
      <w:r w:rsidR="00C918F4" w:rsidRPr="00C918F4">
        <w:rPr>
          <w:sz w:val="24"/>
          <w:lang w:val="nn-NO"/>
        </w:rPr>
        <w:t xml:space="preserve"> i No</w:t>
      </w:r>
      <w:r>
        <w:rPr>
          <w:sz w:val="24"/>
          <w:lang w:val="nn-NO"/>
        </w:rPr>
        <w:t>rsk olje og gass. Modellavtalen</w:t>
      </w:r>
      <w:r w:rsidR="00C918F4" w:rsidRPr="00C918F4">
        <w:rPr>
          <w:sz w:val="24"/>
          <w:lang w:val="nn-NO"/>
        </w:rPr>
        <w:t xml:space="preserve"> </w:t>
      </w:r>
      <w:r w:rsidR="001F537F">
        <w:rPr>
          <w:sz w:val="24"/>
          <w:lang w:val="nn-NO"/>
        </w:rPr>
        <w:t xml:space="preserve">har </w:t>
      </w:r>
      <w:r w:rsidR="001F537F" w:rsidRPr="00C918F4">
        <w:rPr>
          <w:sz w:val="24"/>
          <w:lang w:val="nn-NO"/>
        </w:rPr>
        <w:t xml:space="preserve">vært på høring i </w:t>
      </w:r>
      <w:proofErr w:type="spellStart"/>
      <w:r w:rsidR="001F537F" w:rsidRPr="00C918F4">
        <w:rPr>
          <w:sz w:val="24"/>
          <w:lang w:val="nn-NO"/>
        </w:rPr>
        <w:t>Utvalg</w:t>
      </w:r>
      <w:proofErr w:type="spellEnd"/>
      <w:r w:rsidR="001F537F">
        <w:rPr>
          <w:sz w:val="24"/>
          <w:lang w:val="nn-NO"/>
        </w:rPr>
        <w:t xml:space="preserve"> for konsesjonspolitikk i Norsk olje og gass og </w:t>
      </w:r>
      <w:r w:rsidR="00C918F4" w:rsidRPr="00C918F4">
        <w:rPr>
          <w:sz w:val="24"/>
          <w:lang w:val="nn-NO"/>
        </w:rPr>
        <w:t xml:space="preserve">er anbefalt av </w:t>
      </w:r>
      <w:r w:rsidR="0026790C">
        <w:rPr>
          <w:sz w:val="24"/>
          <w:lang w:val="nn-NO"/>
        </w:rPr>
        <w:t xml:space="preserve">Norsk olje og gass </w:t>
      </w:r>
      <w:r w:rsidR="00C918F4" w:rsidRPr="00C918F4">
        <w:rPr>
          <w:sz w:val="24"/>
          <w:lang w:val="nn-NO"/>
        </w:rPr>
        <w:t xml:space="preserve">Juridisk </w:t>
      </w:r>
      <w:proofErr w:type="spellStart"/>
      <w:r w:rsidR="0026790C">
        <w:rPr>
          <w:sz w:val="24"/>
          <w:lang w:val="nn-NO"/>
        </w:rPr>
        <w:t>utvalg</w:t>
      </w:r>
      <w:proofErr w:type="spellEnd"/>
      <w:r w:rsidR="0026790C">
        <w:rPr>
          <w:sz w:val="24"/>
          <w:lang w:val="nn-NO"/>
        </w:rPr>
        <w:t>.</w:t>
      </w:r>
      <w:r w:rsidR="0026790C">
        <w:rPr>
          <w:sz w:val="24"/>
          <w:lang w:val="nn-NO"/>
        </w:rPr>
        <w:br/>
      </w:r>
      <w:proofErr w:type="spellStart"/>
      <w:r w:rsidR="00C918F4" w:rsidRPr="00C918F4">
        <w:rPr>
          <w:sz w:val="24"/>
          <w:lang w:val="nn-NO"/>
        </w:rPr>
        <w:t>Videre</w:t>
      </w:r>
      <w:proofErr w:type="spellEnd"/>
      <w:r w:rsidR="00C918F4" w:rsidRPr="00C918F4">
        <w:rPr>
          <w:sz w:val="24"/>
          <w:lang w:val="nn-NO"/>
        </w:rPr>
        <w:t xml:space="preserve"> er den godkjent av </w:t>
      </w:r>
      <w:proofErr w:type="spellStart"/>
      <w:r w:rsidR="00C918F4" w:rsidRPr="00C918F4">
        <w:rPr>
          <w:sz w:val="24"/>
          <w:lang w:val="nn-NO"/>
        </w:rPr>
        <w:t>administreren</w:t>
      </w:r>
      <w:r w:rsidR="001F537F">
        <w:rPr>
          <w:sz w:val="24"/>
          <w:lang w:val="nn-NO"/>
        </w:rPr>
        <w:t>de</w:t>
      </w:r>
      <w:proofErr w:type="spellEnd"/>
      <w:r w:rsidR="001F537F">
        <w:rPr>
          <w:sz w:val="24"/>
          <w:lang w:val="nn-NO"/>
        </w:rPr>
        <w:t xml:space="preserve"> direktør</w:t>
      </w:r>
      <w:r w:rsidR="00C918F4" w:rsidRPr="00C918F4">
        <w:rPr>
          <w:sz w:val="24"/>
          <w:lang w:val="nn-NO"/>
        </w:rPr>
        <w:t>.</w:t>
      </w:r>
    </w:p>
    <w:p w14:paraId="3988DA83" w14:textId="77777777" w:rsidR="00845858" w:rsidRPr="00C918F4" w:rsidRDefault="00845858" w:rsidP="00845858">
      <w:pPr>
        <w:pStyle w:val="Brdtekst"/>
      </w:pPr>
    </w:p>
    <w:p w14:paraId="18E7461E" w14:textId="04EF2B1F" w:rsidR="0053120E" w:rsidRDefault="0053120E" w:rsidP="0053120E">
      <w:pPr>
        <w:jc w:val="both"/>
        <w:rPr>
          <w:sz w:val="24"/>
          <w:lang w:val="nn-NO"/>
        </w:rPr>
      </w:pPr>
      <w:proofErr w:type="spellStart"/>
      <w:r>
        <w:rPr>
          <w:sz w:val="24"/>
          <w:lang w:val="nn-NO"/>
        </w:rPr>
        <w:t>Arbeidsgruppen</w:t>
      </w:r>
      <w:proofErr w:type="spellEnd"/>
      <w:r>
        <w:rPr>
          <w:sz w:val="24"/>
          <w:lang w:val="nn-NO"/>
        </w:rPr>
        <w:t xml:space="preserve"> har bestått av </w:t>
      </w:r>
      <w:proofErr w:type="spellStart"/>
      <w:r>
        <w:rPr>
          <w:sz w:val="24"/>
          <w:lang w:val="nn-NO"/>
        </w:rPr>
        <w:t>følgende</w:t>
      </w:r>
      <w:proofErr w:type="spellEnd"/>
      <w:r>
        <w:rPr>
          <w:sz w:val="24"/>
          <w:lang w:val="nn-NO"/>
        </w:rPr>
        <w:t xml:space="preserve"> medlemmer: </w:t>
      </w:r>
    </w:p>
    <w:p w14:paraId="6DEB0CF3" w14:textId="77777777" w:rsidR="007937C1" w:rsidRDefault="007937C1" w:rsidP="0053120E">
      <w:pPr>
        <w:jc w:val="both"/>
        <w:rPr>
          <w:sz w:val="24"/>
          <w:lang w:val="nn-NO"/>
        </w:rPr>
      </w:pPr>
    </w:p>
    <w:p w14:paraId="68CF2FE0" w14:textId="58F70E2A" w:rsidR="0053120E" w:rsidRPr="0053120E" w:rsidRDefault="0053120E" w:rsidP="0053120E">
      <w:pPr>
        <w:pStyle w:val="Listeavsnitt"/>
        <w:numPr>
          <w:ilvl w:val="0"/>
          <w:numId w:val="5"/>
        </w:numPr>
        <w:jc w:val="both"/>
        <w:rPr>
          <w:sz w:val="24"/>
          <w:lang w:val="nn-NO"/>
        </w:rPr>
      </w:pPr>
      <w:r w:rsidRPr="0053120E">
        <w:rPr>
          <w:sz w:val="24"/>
          <w:lang w:val="nn-NO"/>
        </w:rPr>
        <w:t>Anna Serina Natvik, Total E&amp;P Norge AS</w:t>
      </w:r>
    </w:p>
    <w:p w14:paraId="6F6C973D" w14:textId="77777777" w:rsidR="0053120E" w:rsidRPr="0053120E" w:rsidRDefault="0053120E" w:rsidP="0053120E">
      <w:pPr>
        <w:pStyle w:val="Listeavsnitt"/>
        <w:numPr>
          <w:ilvl w:val="0"/>
          <w:numId w:val="5"/>
        </w:numPr>
        <w:jc w:val="both"/>
        <w:rPr>
          <w:sz w:val="24"/>
          <w:lang w:val="nn-NO"/>
        </w:rPr>
      </w:pPr>
      <w:r w:rsidRPr="0053120E">
        <w:rPr>
          <w:sz w:val="24"/>
          <w:lang w:val="nn-NO"/>
        </w:rPr>
        <w:t>Eirik Tveit, BG Norge AS (nå Total E&amp;P Norge AS)</w:t>
      </w:r>
    </w:p>
    <w:p w14:paraId="33F2EA75" w14:textId="77777777" w:rsidR="0053120E" w:rsidRPr="0053120E" w:rsidRDefault="0053120E" w:rsidP="0053120E">
      <w:pPr>
        <w:pStyle w:val="Listeavsnitt"/>
        <w:numPr>
          <w:ilvl w:val="0"/>
          <w:numId w:val="5"/>
        </w:numPr>
        <w:jc w:val="both"/>
        <w:rPr>
          <w:sz w:val="24"/>
          <w:lang w:val="nn-NO"/>
        </w:rPr>
      </w:pPr>
      <w:r w:rsidRPr="0053120E">
        <w:rPr>
          <w:sz w:val="24"/>
          <w:lang w:val="nn-NO"/>
        </w:rPr>
        <w:t xml:space="preserve">Jone Stakkestad, </w:t>
      </w:r>
      <w:proofErr w:type="spellStart"/>
      <w:r w:rsidRPr="0053120E">
        <w:rPr>
          <w:sz w:val="24"/>
          <w:lang w:val="nn-NO"/>
        </w:rPr>
        <w:t>Wintershall</w:t>
      </w:r>
      <w:proofErr w:type="spellEnd"/>
      <w:r w:rsidRPr="0053120E">
        <w:rPr>
          <w:sz w:val="24"/>
          <w:lang w:val="nn-NO"/>
        </w:rPr>
        <w:t xml:space="preserve"> Norge AS</w:t>
      </w:r>
    </w:p>
    <w:p w14:paraId="0919688B" w14:textId="77777777" w:rsidR="0053120E" w:rsidRPr="0053120E" w:rsidRDefault="0053120E" w:rsidP="0053120E">
      <w:pPr>
        <w:pStyle w:val="Listeavsnitt"/>
        <w:numPr>
          <w:ilvl w:val="0"/>
          <w:numId w:val="5"/>
        </w:numPr>
        <w:jc w:val="both"/>
        <w:rPr>
          <w:sz w:val="24"/>
          <w:lang w:val="nn-NO"/>
        </w:rPr>
      </w:pPr>
      <w:r w:rsidRPr="0053120E">
        <w:rPr>
          <w:sz w:val="24"/>
          <w:lang w:val="nn-NO"/>
        </w:rPr>
        <w:t>Karl Myhre, A/S Norske Shell</w:t>
      </w:r>
    </w:p>
    <w:p w14:paraId="2ECC4E66" w14:textId="77777777" w:rsidR="0053120E" w:rsidRPr="0053120E" w:rsidRDefault="0053120E" w:rsidP="0053120E">
      <w:pPr>
        <w:pStyle w:val="Listeavsnitt"/>
        <w:numPr>
          <w:ilvl w:val="0"/>
          <w:numId w:val="5"/>
        </w:numPr>
        <w:jc w:val="both"/>
        <w:rPr>
          <w:sz w:val="24"/>
          <w:lang w:val="nn-NO"/>
        </w:rPr>
      </w:pPr>
      <w:r w:rsidRPr="0053120E">
        <w:rPr>
          <w:sz w:val="24"/>
          <w:lang w:val="nn-NO"/>
        </w:rPr>
        <w:t>Lars Anders Heimdal, Statoil ASA, (nå Talisman Energy Norge AS)</w:t>
      </w:r>
    </w:p>
    <w:p w14:paraId="6EE877D8" w14:textId="77777777" w:rsidR="0053120E" w:rsidRPr="0053120E" w:rsidRDefault="0053120E" w:rsidP="0053120E">
      <w:pPr>
        <w:pStyle w:val="Listeavsnitt"/>
        <w:numPr>
          <w:ilvl w:val="0"/>
          <w:numId w:val="5"/>
        </w:numPr>
        <w:jc w:val="both"/>
        <w:rPr>
          <w:sz w:val="24"/>
          <w:lang w:val="nn-NO"/>
        </w:rPr>
      </w:pPr>
      <w:r w:rsidRPr="0053120E">
        <w:rPr>
          <w:sz w:val="24"/>
          <w:lang w:val="nn-NO"/>
        </w:rPr>
        <w:t xml:space="preserve">Lars Ole Sikkeland, Statoil ASA </w:t>
      </w:r>
    </w:p>
    <w:p w14:paraId="674A7CAC" w14:textId="77777777" w:rsidR="0053120E" w:rsidRPr="0053120E" w:rsidRDefault="0053120E" w:rsidP="0053120E">
      <w:pPr>
        <w:pStyle w:val="Listeavsnitt"/>
        <w:numPr>
          <w:ilvl w:val="0"/>
          <w:numId w:val="5"/>
        </w:numPr>
        <w:jc w:val="both"/>
        <w:rPr>
          <w:sz w:val="24"/>
          <w:lang w:val="nn-NO"/>
        </w:rPr>
      </w:pPr>
      <w:r w:rsidRPr="0053120E">
        <w:rPr>
          <w:sz w:val="24"/>
          <w:lang w:val="nn-NO"/>
        </w:rPr>
        <w:t>Mari Berglie Sande og Morten Karlsen, BP Norge AS</w:t>
      </w:r>
    </w:p>
    <w:p w14:paraId="2F9DBF35" w14:textId="77777777" w:rsidR="0053120E" w:rsidRDefault="0053120E" w:rsidP="0053120E">
      <w:pPr>
        <w:pStyle w:val="Listeavsnitt"/>
        <w:numPr>
          <w:ilvl w:val="0"/>
          <w:numId w:val="5"/>
        </w:numPr>
        <w:jc w:val="both"/>
        <w:rPr>
          <w:sz w:val="24"/>
          <w:lang w:val="nn-NO"/>
        </w:rPr>
      </w:pPr>
      <w:r w:rsidRPr="0053120E">
        <w:rPr>
          <w:sz w:val="24"/>
          <w:lang w:val="nn-NO"/>
        </w:rPr>
        <w:t xml:space="preserve">Tine Eggen, </w:t>
      </w:r>
      <w:proofErr w:type="spellStart"/>
      <w:r w:rsidRPr="0053120E">
        <w:rPr>
          <w:sz w:val="24"/>
          <w:lang w:val="nn-NO"/>
        </w:rPr>
        <w:t>GdF</w:t>
      </w:r>
      <w:proofErr w:type="spellEnd"/>
      <w:r w:rsidRPr="0053120E">
        <w:rPr>
          <w:sz w:val="24"/>
          <w:lang w:val="nn-NO"/>
        </w:rPr>
        <w:t xml:space="preserve"> Suez E&amp;P Norge AS</w:t>
      </w:r>
    </w:p>
    <w:p w14:paraId="5DC23F16" w14:textId="77777777" w:rsidR="007937C1" w:rsidRPr="0053120E" w:rsidRDefault="007937C1" w:rsidP="007937C1">
      <w:pPr>
        <w:pStyle w:val="Listeavsnitt"/>
        <w:jc w:val="both"/>
        <w:rPr>
          <w:sz w:val="24"/>
          <w:lang w:val="nn-NO"/>
        </w:rPr>
      </w:pPr>
    </w:p>
    <w:p w14:paraId="51BD1D3C" w14:textId="789B03BB" w:rsidR="0053120E" w:rsidRPr="007937C1" w:rsidRDefault="007937C1" w:rsidP="007937C1">
      <w:pPr>
        <w:jc w:val="both"/>
        <w:rPr>
          <w:sz w:val="24"/>
          <w:lang w:val="nn-NO"/>
        </w:rPr>
      </w:pPr>
      <w:r>
        <w:rPr>
          <w:sz w:val="24"/>
          <w:lang w:val="nn-NO"/>
        </w:rPr>
        <w:t xml:space="preserve">Eirik </w:t>
      </w:r>
      <w:r w:rsidR="0053120E" w:rsidRPr="007937C1">
        <w:rPr>
          <w:sz w:val="24"/>
          <w:lang w:val="nn-NO"/>
        </w:rPr>
        <w:t xml:space="preserve">Tveit har ledet </w:t>
      </w:r>
      <w:proofErr w:type="spellStart"/>
      <w:r w:rsidR="0053120E" w:rsidRPr="007937C1">
        <w:rPr>
          <w:sz w:val="24"/>
          <w:lang w:val="nn-NO"/>
        </w:rPr>
        <w:t>arbeidsgruppen</w:t>
      </w:r>
      <w:proofErr w:type="spellEnd"/>
      <w:r w:rsidR="0053120E" w:rsidRPr="007937C1">
        <w:rPr>
          <w:sz w:val="24"/>
          <w:lang w:val="nn-NO"/>
        </w:rPr>
        <w:t xml:space="preserve">. </w:t>
      </w:r>
      <w:proofErr w:type="spellStart"/>
      <w:r w:rsidR="0053120E" w:rsidRPr="007937C1">
        <w:rPr>
          <w:sz w:val="24"/>
          <w:lang w:val="nn-NO"/>
        </w:rPr>
        <w:t>Fra</w:t>
      </w:r>
      <w:proofErr w:type="spellEnd"/>
      <w:r w:rsidR="0053120E" w:rsidRPr="007937C1">
        <w:rPr>
          <w:sz w:val="24"/>
          <w:lang w:val="nn-NO"/>
        </w:rPr>
        <w:t xml:space="preserve"> administrasjonen har Oluf Bjørndal deltatt i arbeidet.</w:t>
      </w:r>
    </w:p>
    <w:p w14:paraId="1FE810CC" w14:textId="77777777" w:rsidR="00E7044C" w:rsidRDefault="00E7044C" w:rsidP="00845858">
      <w:pPr>
        <w:pStyle w:val="Brdtekst"/>
      </w:pPr>
    </w:p>
    <w:p w14:paraId="24D915E3" w14:textId="77777777" w:rsidR="00845858" w:rsidRPr="00A215A9" w:rsidRDefault="00845858" w:rsidP="00845858">
      <w:pPr>
        <w:pStyle w:val="Brdtekst"/>
      </w:pPr>
      <w:r w:rsidRPr="00A215A9">
        <w:t xml:space="preserve">Ansvarlig fagsjef i Norsk olje og gass er </w:t>
      </w:r>
      <w:r w:rsidR="00227D02">
        <w:t>fagsjef</w:t>
      </w:r>
      <w:r w:rsidRPr="00A215A9">
        <w:t xml:space="preserve"> </w:t>
      </w:r>
      <w:sdt>
        <w:sdtPr>
          <w:id w:val="1017662404"/>
          <w:placeholder>
            <w:docPart w:val="05FEDA470008452B871CE4A61021C752"/>
          </w:placeholder>
          <w:text/>
        </w:sdtPr>
        <w:sdtEndPr/>
        <w:sdtContent>
          <w:r w:rsidR="00E7044C">
            <w:t>Juridisk</w:t>
          </w:r>
        </w:sdtContent>
      </w:sdt>
      <w:r w:rsidR="004C711C" w:rsidRPr="00A215A9">
        <w:t xml:space="preserve"> </w:t>
      </w:r>
      <w:r w:rsidRPr="00A215A9">
        <w:t>som kan kontaktes via Norsk olje og gass´</w:t>
      </w:r>
      <w:r w:rsidR="00B36F1D" w:rsidRPr="00A215A9">
        <w:t xml:space="preserve"> </w:t>
      </w:r>
      <w:r w:rsidRPr="00A215A9">
        <w:t>sentralbord +47 51 84 65 00.</w:t>
      </w:r>
    </w:p>
    <w:p w14:paraId="37296CA6" w14:textId="77777777" w:rsidR="00845858" w:rsidRPr="00A215A9" w:rsidRDefault="00845858" w:rsidP="00845858">
      <w:pPr>
        <w:pStyle w:val="Brdtekst"/>
      </w:pPr>
    </w:p>
    <w:p w14:paraId="4B39E536" w14:textId="4DCD7304" w:rsidR="00845858" w:rsidRPr="00A215A9" w:rsidRDefault="004205AA" w:rsidP="00845858">
      <w:pPr>
        <w:pStyle w:val="Brdtekst"/>
      </w:pPr>
      <w:r>
        <w:t xml:space="preserve">Denne </w:t>
      </w:r>
      <w:r w:rsidR="007937C1">
        <w:t>modellavtalen</w:t>
      </w:r>
      <w:r w:rsidR="00845858" w:rsidRPr="00A215A9">
        <w:t xml:space="preserve"> er utviklet med bred bransjedeltagelse fra interesserte parter i</w:t>
      </w:r>
      <w:r w:rsidR="00B36F1D" w:rsidRPr="00A215A9">
        <w:t xml:space="preserve"> </w:t>
      </w:r>
      <w:r w:rsidR="00845858" w:rsidRPr="00A215A9">
        <w:t>den norske petroleumsindustrien og eies av den norske petroleumsindustrien represent</w:t>
      </w:r>
      <w:r w:rsidR="007937C1">
        <w:t>ert ved</w:t>
      </w:r>
      <w:r w:rsidR="00845858" w:rsidRPr="00A215A9">
        <w:t xml:space="preserve"> Norsk</w:t>
      </w:r>
      <w:r w:rsidR="00B36F1D" w:rsidRPr="00A215A9">
        <w:t xml:space="preserve"> </w:t>
      </w:r>
      <w:r w:rsidR="00845858" w:rsidRPr="00A215A9">
        <w:t>olje og gass. Administrasjonen er lagt til Norsk olje og gass.</w:t>
      </w:r>
    </w:p>
    <w:p w14:paraId="071B1858" w14:textId="77777777" w:rsidR="00845858" w:rsidRPr="00A215A9" w:rsidRDefault="00845858" w:rsidP="00845858">
      <w:pPr>
        <w:pStyle w:val="Brdtekst"/>
      </w:pPr>
    </w:p>
    <w:p w14:paraId="3581A5A3" w14:textId="77777777" w:rsidR="00845858" w:rsidRPr="00A215A9" w:rsidRDefault="00845858" w:rsidP="00845858">
      <w:pPr>
        <w:pStyle w:val="Brdtekst"/>
      </w:pPr>
      <w:r w:rsidRPr="00A215A9">
        <w:t>Norsk olje og gass</w:t>
      </w:r>
    </w:p>
    <w:p w14:paraId="49BC247F" w14:textId="77777777" w:rsidR="00845858" w:rsidRPr="00A215A9" w:rsidRDefault="00845858" w:rsidP="00845858">
      <w:pPr>
        <w:pStyle w:val="Brdtekst"/>
      </w:pPr>
      <w:proofErr w:type="spellStart"/>
      <w:r w:rsidRPr="00A215A9">
        <w:t>Vassbotnen</w:t>
      </w:r>
      <w:proofErr w:type="spellEnd"/>
      <w:r w:rsidRPr="00A215A9">
        <w:t xml:space="preserve"> 1, 4313 Sandnes</w:t>
      </w:r>
    </w:p>
    <w:p w14:paraId="51D10483" w14:textId="77777777" w:rsidR="00845858" w:rsidRPr="00A215A9" w:rsidRDefault="00845858" w:rsidP="00845858">
      <w:pPr>
        <w:pStyle w:val="Brdtekst"/>
      </w:pPr>
      <w:r w:rsidRPr="00A215A9">
        <w:t>Postboks 8065</w:t>
      </w:r>
    </w:p>
    <w:p w14:paraId="5AA6F067" w14:textId="77777777" w:rsidR="00845858" w:rsidRPr="00A215A9" w:rsidRDefault="00845858" w:rsidP="00845858">
      <w:pPr>
        <w:pStyle w:val="Brdtekst"/>
      </w:pPr>
      <w:r w:rsidRPr="00A215A9">
        <w:t>4068 Stavanger</w:t>
      </w:r>
    </w:p>
    <w:p w14:paraId="51617EF3" w14:textId="77777777" w:rsidR="00845858" w:rsidRPr="00A215A9" w:rsidRDefault="00845858" w:rsidP="00845858">
      <w:pPr>
        <w:pStyle w:val="Brdtekst"/>
      </w:pPr>
      <w:r w:rsidRPr="00A215A9">
        <w:t>Telefon: + 47 51 84 65 00</w:t>
      </w:r>
    </w:p>
    <w:p w14:paraId="245020D2" w14:textId="77777777" w:rsidR="00845858" w:rsidRPr="00A215A9" w:rsidRDefault="00845858" w:rsidP="00845858">
      <w:pPr>
        <w:pStyle w:val="Brdtekst"/>
      </w:pPr>
      <w:r w:rsidRPr="00A215A9">
        <w:t>Telefaks: + 47 51 84 65 01</w:t>
      </w:r>
    </w:p>
    <w:p w14:paraId="3107EB63" w14:textId="77777777" w:rsidR="00845858" w:rsidRDefault="00845858" w:rsidP="00845858">
      <w:pPr>
        <w:pStyle w:val="Brdtekst"/>
      </w:pPr>
      <w:r w:rsidRPr="00A215A9">
        <w:t xml:space="preserve">Hjemmeside: </w:t>
      </w:r>
      <w:hyperlink r:id="rId21" w:history="1">
        <w:r w:rsidR="004C711C" w:rsidRPr="00A35E1E">
          <w:rPr>
            <w:rStyle w:val="Hyperkobling"/>
          </w:rPr>
          <w:t>www.norskoljeoggass.no</w:t>
        </w:r>
      </w:hyperlink>
    </w:p>
    <w:p w14:paraId="17DDF94D" w14:textId="77777777" w:rsidR="00845858" w:rsidRDefault="00845858" w:rsidP="00845858">
      <w:pPr>
        <w:pStyle w:val="Brdtekst"/>
        <w:rPr>
          <w:lang w:val="de-DE"/>
        </w:rPr>
      </w:pPr>
      <w:r w:rsidRPr="00DF2A9E">
        <w:rPr>
          <w:lang w:val="de-DE"/>
        </w:rPr>
        <w:t xml:space="preserve">E-post: </w:t>
      </w:r>
      <w:hyperlink r:id="rId22" w:history="1">
        <w:r w:rsidR="000823E8" w:rsidRPr="00616B37">
          <w:rPr>
            <w:rStyle w:val="Hyperkobling"/>
            <w:rFonts w:ascii="Cambria" w:hAnsi="Cambria" w:cs="Cambria"/>
            <w:lang w:val="de-DE"/>
          </w:rPr>
          <w:t>f</w:t>
        </w:r>
        <w:r w:rsidR="000823E8" w:rsidRPr="00616B37">
          <w:rPr>
            <w:rStyle w:val="Hyperkobling"/>
            <w:lang w:val="de-DE"/>
          </w:rPr>
          <w:t>irmapost@norog.no</w:t>
        </w:r>
      </w:hyperlink>
    </w:p>
    <w:p w14:paraId="39B1CBA0" w14:textId="77777777" w:rsidR="000823E8" w:rsidRPr="00DF2A9E" w:rsidRDefault="000823E8" w:rsidP="00845858">
      <w:pPr>
        <w:pStyle w:val="Brdtekst"/>
        <w:rPr>
          <w:lang w:val="de-DE"/>
        </w:rPr>
      </w:pPr>
    </w:p>
    <w:p w14:paraId="74DD8BFE" w14:textId="77777777" w:rsidR="00BF06A3" w:rsidRPr="00DF2A9E" w:rsidRDefault="00BF06A3">
      <w:pPr>
        <w:spacing w:after="200"/>
        <w:rPr>
          <w:lang w:val="de-DE"/>
        </w:rPr>
      </w:pPr>
      <w:r w:rsidRPr="00DF2A9E">
        <w:rPr>
          <w:lang w:val="de-DE"/>
        </w:rPr>
        <w:br w:type="page"/>
      </w:r>
    </w:p>
    <w:p w14:paraId="72508B6D" w14:textId="24DED989" w:rsidR="00BF06A3" w:rsidRPr="00DF2A9E" w:rsidRDefault="0053120E" w:rsidP="00C33D2A">
      <w:pPr>
        <w:pStyle w:val="UnrOverskrift1"/>
        <w:rPr>
          <w:lang w:val="de-DE"/>
        </w:rPr>
      </w:pPr>
      <w:bookmarkStart w:id="2" w:name="_Toc377708923"/>
      <w:r>
        <w:rPr>
          <w:lang w:val="de-DE"/>
        </w:rPr>
        <w:lastRenderedPageBreak/>
        <w:t>I</w:t>
      </w:r>
      <w:r w:rsidR="00C33D2A" w:rsidRPr="00DF2A9E">
        <w:rPr>
          <w:lang w:val="de-DE"/>
        </w:rPr>
        <w:t>nnhold</w:t>
      </w:r>
      <w:bookmarkEnd w:id="2"/>
    </w:p>
    <w:p w14:paraId="0F6271E1" w14:textId="77777777" w:rsidR="000A0584" w:rsidRDefault="00E96592">
      <w:pPr>
        <w:pStyle w:val="INNH1"/>
        <w:rPr>
          <w:rFonts w:eastAsiaTheme="minorEastAsia"/>
          <w:caps w:val="0"/>
          <w:noProof/>
          <w:sz w:val="22"/>
          <w:lang w:eastAsia="nb-NO"/>
        </w:rPr>
      </w:pPr>
      <w:r w:rsidRPr="00A215A9">
        <w:fldChar w:fldCharType="begin"/>
      </w:r>
      <w:r w:rsidR="007C4674">
        <w:instrText xml:space="preserve"> TOC \o "1-5</w:instrText>
      </w:r>
      <w:r w:rsidRPr="00A215A9">
        <w:instrText xml:space="preserve">" \h \z \u </w:instrText>
      </w:r>
      <w:r w:rsidRPr="00A215A9">
        <w:fldChar w:fldCharType="separate"/>
      </w:r>
      <w:hyperlink w:anchor="_Toc377708922" w:history="1">
        <w:r w:rsidR="000A0584" w:rsidRPr="00250DFE">
          <w:rPr>
            <w:rStyle w:val="Hyperkobling"/>
            <w:noProof/>
            <w:lang w:val="nn-NO"/>
          </w:rPr>
          <w:t>Forord</w:t>
        </w:r>
        <w:r w:rsidR="000A0584">
          <w:rPr>
            <w:noProof/>
            <w:webHidden/>
          </w:rPr>
          <w:tab/>
        </w:r>
        <w:r w:rsidR="000A0584">
          <w:rPr>
            <w:noProof/>
            <w:webHidden/>
          </w:rPr>
          <w:fldChar w:fldCharType="begin"/>
        </w:r>
        <w:r w:rsidR="000A0584">
          <w:rPr>
            <w:noProof/>
            <w:webHidden/>
          </w:rPr>
          <w:instrText xml:space="preserve"> PAGEREF _Toc377708922 \h </w:instrText>
        </w:r>
        <w:r w:rsidR="000A0584">
          <w:rPr>
            <w:noProof/>
            <w:webHidden/>
          </w:rPr>
        </w:r>
        <w:r w:rsidR="000A0584">
          <w:rPr>
            <w:noProof/>
            <w:webHidden/>
          </w:rPr>
          <w:fldChar w:fldCharType="separate"/>
        </w:r>
        <w:r w:rsidR="00E32FC1">
          <w:rPr>
            <w:noProof/>
            <w:webHidden/>
          </w:rPr>
          <w:t>1</w:t>
        </w:r>
        <w:r w:rsidR="000A0584">
          <w:rPr>
            <w:noProof/>
            <w:webHidden/>
          </w:rPr>
          <w:fldChar w:fldCharType="end"/>
        </w:r>
      </w:hyperlink>
    </w:p>
    <w:p w14:paraId="4EB775F7" w14:textId="77777777" w:rsidR="000A0584" w:rsidRDefault="00A71F27">
      <w:pPr>
        <w:pStyle w:val="INNH1"/>
        <w:rPr>
          <w:rFonts w:eastAsiaTheme="minorEastAsia"/>
          <w:caps w:val="0"/>
          <w:noProof/>
          <w:sz w:val="22"/>
          <w:lang w:eastAsia="nb-NO"/>
        </w:rPr>
      </w:pPr>
      <w:hyperlink w:anchor="_Toc377708923" w:history="1">
        <w:r w:rsidR="000A0584" w:rsidRPr="00250DFE">
          <w:rPr>
            <w:rStyle w:val="Hyperkobling"/>
            <w:noProof/>
            <w:lang w:val="de-DE"/>
          </w:rPr>
          <w:t>Innhold</w:t>
        </w:r>
        <w:r w:rsidR="000A0584">
          <w:rPr>
            <w:noProof/>
            <w:webHidden/>
          </w:rPr>
          <w:tab/>
        </w:r>
        <w:r w:rsidR="000A0584">
          <w:rPr>
            <w:noProof/>
            <w:webHidden/>
          </w:rPr>
          <w:fldChar w:fldCharType="begin"/>
        </w:r>
        <w:r w:rsidR="000A0584">
          <w:rPr>
            <w:noProof/>
            <w:webHidden/>
          </w:rPr>
          <w:instrText xml:space="preserve"> PAGEREF _Toc377708923 \h </w:instrText>
        </w:r>
        <w:r w:rsidR="000A0584">
          <w:rPr>
            <w:noProof/>
            <w:webHidden/>
          </w:rPr>
        </w:r>
        <w:r w:rsidR="000A0584">
          <w:rPr>
            <w:noProof/>
            <w:webHidden/>
          </w:rPr>
          <w:fldChar w:fldCharType="separate"/>
        </w:r>
        <w:r w:rsidR="00E32FC1">
          <w:rPr>
            <w:noProof/>
            <w:webHidden/>
          </w:rPr>
          <w:t>2</w:t>
        </w:r>
        <w:r w:rsidR="000A0584">
          <w:rPr>
            <w:noProof/>
            <w:webHidden/>
          </w:rPr>
          <w:fldChar w:fldCharType="end"/>
        </w:r>
      </w:hyperlink>
    </w:p>
    <w:p w14:paraId="6F356B88" w14:textId="77777777" w:rsidR="000A0584" w:rsidRDefault="00A71F27">
      <w:pPr>
        <w:pStyle w:val="INNH1"/>
        <w:rPr>
          <w:rFonts w:eastAsiaTheme="minorEastAsia"/>
          <w:caps w:val="0"/>
          <w:noProof/>
          <w:sz w:val="22"/>
          <w:lang w:eastAsia="nb-NO"/>
        </w:rPr>
      </w:pPr>
      <w:hyperlink w:anchor="_Toc377708924" w:history="1">
        <w:r w:rsidR="000A0584" w:rsidRPr="00250DFE">
          <w:rPr>
            <w:rStyle w:val="Hyperkobling"/>
            <w:noProof/>
          </w:rPr>
          <w:t>1</w:t>
        </w:r>
        <w:r w:rsidR="000A0584">
          <w:rPr>
            <w:rFonts w:eastAsiaTheme="minorEastAsia"/>
            <w:caps w:val="0"/>
            <w:noProof/>
            <w:sz w:val="22"/>
            <w:lang w:eastAsia="nb-NO"/>
          </w:rPr>
          <w:tab/>
        </w:r>
        <w:r w:rsidR="000A0584" w:rsidRPr="00250DFE">
          <w:rPr>
            <w:rStyle w:val="Hyperkobling"/>
            <w:noProof/>
          </w:rPr>
          <w:t>Generelle kommentarer til avtalen</w:t>
        </w:r>
        <w:r w:rsidR="000A0584">
          <w:rPr>
            <w:noProof/>
            <w:webHidden/>
          </w:rPr>
          <w:tab/>
        </w:r>
        <w:r w:rsidR="000A0584">
          <w:rPr>
            <w:noProof/>
            <w:webHidden/>
          </w:rPr>
          <w:fldChar w:fldCharType="begin"/>
        </w:r>
        <w:r w:rsidR="000A0584">
          <w:rPr>
            <w:noProof/>
            <w:webHidden/>
          </w:rPr>
          <w:instrText xml:space="preserve"> PAGEREF _Toc377708924 \h </w:instrText>
        </w:r>
        <w:r w:rsidR="000A0584">
          <w:rPr>
            <w:noProof/>
            <w:webHidden/>
          </w:rPr>
        </w:r>
        <w:r w:rsidR="000A0584">
          <w:rPr>
            <w:noProof/>
            <w:webHidden/>
          </w:rPr>
          <w:fldChar w:fldCharType="separate"/>
        </w:r>
        <w:r w:rsidR="00E32FC1">
          <w:rPr>
            <w:noProof/>
            <w:webHidden/>
          </w:rPr>
          <w:t>2</w:t>
        </w:r>
        <w:r w:rsidR="000A0584">
          <w:rPr>
            <w:noProof/>
            <w:webHidden/>
          </w:rPr>
          <w:fldChar w:fldCharType="end"/>
        </w:r>
      </w:hyperlink>
    </w:p>
    <w:p w14:paraId="6F6B2256" w14:textId="77777777" w:rsidR="000A0584" w:rsidRDefault="00A71F27">
      <w:pPr>
        <w:pStyle w:val="INNH1"/>
        <w:rPr>
          <w:rFonts w:eastAsiaTheme="minorEastAsia"/>
          <w:caps w:val="0"/>
          <w:noProof/>
          <w:sz w:val="22"/>
          <w:lang w:eastAsia="nb-NO"/>
        </w:rPr>
      </w:pPr>
      <w:hyperlink w:anchor="_Toc377708925" w:history="1">
        <w:r w:rsidR="000A0584" w:rsidRPr="00250DFE">
          <w:rPr>
            <w:rStyle w:val="Hyperkobling"/>
            <w:noProof/>
          </w:rPr>
          <w:t>2</w:t>
        </w:r>
        <w:r w:rsidR="000A0584">
          <w:rPr>
            <w:rFonts w:eastAsiaTheme="minorEastAsia"/>
            <w:caps w:val="0"/>
            <w:noProof/>
            <w:sz w:val="22"/>
            <w:lang w:eastAsia="nb-NO"/>
          </w:rPr>
          <w:tab/>
        </w:r>
        <w:r w:rsidR="000A0584" w:rsidRPr="00250DFE">
          <w:rPr>
            <w:rStyle w:val="Hyperkobling"/>
            <w:noProof/>
          </w:rPr>
          <w:t>Kommentarer til enkelte bestemmelser</w:t>
        </w:r>
        <w:r w:rsidR="000A0584">
          <w:rPr>
            <w:noProof/>
            <w:webHidden/>
          </w:rPr>
          <w:tab/>
        </w:r>
        <w:r w:rsidR="000A0584">
          <w:rPr>
            <w:noProof/>
            <w:webHidden/>
          </w:rPr>
          <w:fldChar w:fldCharType="begin"/>
        </w:r>
        <w:r w:rsidR="000A0584">
          <w:rPr>
            <w:noProof/>
            <w:webHidden/>
          </w:rPr>
          <w:instrText xml:space="preserve"> PAGEREF _Toc377708925 \h </w:instrText>
        </w:r>
        <w:r w:rsidR="000A0584">
          <w:rPr>
            <w:noProof/>
            <w:webHidden/>
          </w:rPr>
        </w:r>
        <w:r w:rsidR="000A0584">
          <w:rPr>
            <w:noProof/>
            <w:webHidden/>
          </w:rPr>
          <w:fldChar w:fldCharType="separate"/>
        </w:r>
        <w:r w:rsidR="00E32FC1">
          <w:rPr>
            <w:noProof/>
            <w:webHidden/>
          </w:rPr>
          <w:t>3</w:t>
        </w:r>
        <w:r w:rsidR="000A0584">
          <w:rPr>
            <w:noProof/>
            <w:webHidden/>
          </w:rPr>
          <w:fldChar w:fldCharType="end"/>
        </w:r>
      </w:hyperlink>
    </w:p>
    <w:p w14:paraId="144C22FB" w14:textId="71D3E5FB" w:rsidR="0053120E" w:rsidRPr="00CE5504" w:rsidRDefault="00E96592" w:rsidP="0053120E">
      <w:pPr>
        <w:pStyle w:val="Overskrift1"/>
      </w:pPr>
      <w:r w:rsidRPr="00A215A9">
        <w:fldChar w:fldCharType="end"/>
      </w:r>
      <w:r w:rsidR="0053120E" w:rsidRPr="0053120E">
        <w:t xml:space="preserve"> </w:t>
      </w:r>
      <w:bookmarkStart w:id="3" w:name="_Toc377708924"/>
      <w:r w:rsidR="0053120E" w:rsidRPr="00CE5504">
        <w:t>Generelle kommentarer</w:t>
      </w:r>
      <w:r w:rsidR="0053120E">
        <w:t xml:space="preserve"> til avtalen</w:t>
      </w:r>
      <w:bookmarkEnd w:id="3"/>
    </w:p>
    <w:p w14:paraId="47E6B23A" w14:textId="626703C2" w:rsidR="0053120E" w:rsidRDefault="0053120E" w:rsidP="00EE501A">
      <w:pPr>
        <w:pStyle w:val="Brdtekst"/>
      </w:pPr>
      <w:r>
        <w:t>Arbeidsgruppens mål har vært å utarbeide en modellavtale for samarbeid om potensiell felles søknad om utvinningstillatelser, en såkalt «AMI avtale». Modellavtalen er basert på de avtalemekanismer som hyppigst har blitt brukt i slike avtaler i den norske petroleumsindustrien i den senere tid. Videre har arbeidsgruppen søkt å benytte seg av det standardiseringsarbeidet som er gjort av Norsk olje og gass for andre avtaler. Arbeidsgruppen har også konsultert Olje- og en</w:t>
      </w:r>
      <w:r w:rsidR="009740F2">
        <w:t>ergidepartementet i sitt arbeid</w:t>
      </w:r>
      <w:r>
        <w:t>.</w:t>
      </w:r>
    </w:p>
    <w:p w14:paraId="4BD9C83C" w14:textId="77777777" w:rsidR="00EE501A" w:rsidRDefault="00EE501A" w:rsidP="00EE501A">
      <w:pPr>
        <w:pStyle w:val="Brdtekst"/>
      </w:pPr>
    </w:p>
    <w:p w14:paraId="78503A00" w14:textId="77777777" w:rsidR="0053120E" w:rsidRDefault="0053120E" w:rsidP="00EE501A">
      <w:pPr>
        <w:pStyle w:val="Brdtekst"/>
      </w:pPr>
      <w:r>
        <w:t>Det presiseres at modellavtalen er utarbeidet med for bruk på én bestemt tildelingsrunde - enten en ordinær tildelingsrunde eller en tildeling i forhåndsdefinert område, TFO. Det bemerkes dog at for det tilfellet at man søker om såkalt «tilleggsareal» og partene på avtaletidspunktet er enige om å søke og om søknadens innhold, så kan det være aktuelt for partene å justere bestemmelser som vedrører adgang til å trekke seg fra avtalen.</w:t>
      </w:r>
      <w:r>
        <w:rPr>
          <w:rStyle w:val="Fotnotereferanse"/>
        </w:rPr>
        <w:footnoteReference w:id="1"/>
      </w:r>
      <w:r>
        <w:t xml:space="preserve"> </w:t>
      </w:r>
    </w:p>
    <w:p w14:paraId="7CE38447" w14:textId="77777777" w:rsidR="00EE501A" w:rsidRDefault="00EE501A" w:rsidP="00EE501A">
      <w:pPr>
        <w:pStyle w:val="Brdtekst"/>
      </w:pPr>
    </w:p>
    <w:p w14:paraId="38CE1786" w14:textId="77777777" w:rsidR="0053120E" w:rsidRDefault="0053120E" w:rsidP="00EE501A">
      <w:pPr>
        <w:pStyle w:val="Brdtekst"/>
      </w:pPr>
      <w:r>
        <w:t xml:space="preserve">Det antas at dersom man ønsker at samarbeidet skal vare over flere tildelingsrunder, eventuelt over en tidsperiode med en ikke angitt tildelingsrunde, så vil det være nødvendig med flere modifikasjoner til avtalen. </w:t>
      </w:r>
      <w:r w:rsidRPr="00B568A1">
        <w:t>Videre presiseres det at avtalen er basert på tildelingspraksisen med individuelle forhandlinger mellom de respektive søkerne og Olje- og energidepartementet forut for en eventuell tildeling.</w:t>
      </w:r>
    </w:p>
    <w:p w14:paraId="55693D87" w14:textId="4AD0911F" w:rsidR="0053120E" w:rsidRDefault="0053120E" w:rsidP="00EE501A">
      <w:pPr>
        <w:pStyle w:val="Brdtekst"/>
      </w:pPr>
      <w:r>
        <w:t>Det understrekes at det er opp til partene i det konkrete samarbeidet om man ønsker å benytte denne modellavtalen, inklusiv i hvilket omfang man ønsker å bruke de forskjellige avtalemekanismene. Imidlertid antas det, i de tilfeller hvor den benyttes, at Olje- og energidepartementet som hovedregel ikke vil kreve endringer i avtalen i medhold av petroleumsloven § 3-4. For å bidra til en mer hensikt</w:t>
      </w:r>
      <w:r w:rsidR="009740F2">
        <w:t>s</w:t>
      </w:r>
      <w:r>
        <w:t>messig saksbehandling under petroleumsloven § 3-4 anbefales det at det i oversendelsen til Olje- og energidepartementet angis i hvilken grad modell avtalens reguleringer er benyttet, og at eventuelle avvik skisseres og begrunnes. I denne sammenheng vises det til brev fra Olje- og energidepartementet til Norsk olje og gass datert 19. desember 2013.</w:t>
      </w:r>
    </w:p>
    <w:p w14:paraId="416A59AE" w14:textId="77777777" w:rsidR="0053120E" w:rsidRPr="00CE5504" w:rsidRDefault="0053120E" w:rsidP="0053120E">
      <w:pPr>
        <w:pStyle w:val="Overskrift1"/>
      </w:pPr>
      <w:bookmarkStart w:id="4" w:name="_Toc377708925"/>
      <w:r>
        <w:lastRenderedPageBreak/>
        <w:t>Kommentarer til enkelte bestemmelser</w:t>
      </w:r>
      <w:bookmarkEnd w:id="4"/>
    </w:p>
    <w:p w14:paraId="27FF48CC" w14:textId="77777777" w:rsidR="0053120E" w:rsidRDefault="0053120E" w:rsidP="00EE501A">
      <w:pPr>
        <w:pStyle w:val="Brdtekst"/>
      </w:pPr>
      <w:r>
        <w:t>Arbeidsgruppen har tilstrebet å lage én modellavtale som kan benyttes i forskjellige former for AMI samarbeid. På grunn av dette har man i en rekke bestemmelser valgt å utarbeide alternative bestemmelser. Disse alternative reguleringene er i avtaleteksten angitt med klammer og kort kommentert i noter. Det legges til grunn at man tar ut av avtaledokumentet det alternativet man ikke benytter i det konkrete samarbeidet. De vesentligste av disse alternative bestemmelsene er:</w:t>
      </w:r>
    </w:p>
    <w:p w14:paraId="7846C352" w14:textId="77777777" w:rsidR="007937C1" w:rsidRDefault="007937C1" w:rsidP="00EE501A">
      <w:pPr>
        <w:pStyle w:val="Brdtekst"/>
      </w:pPr>
    </w:p>
    <w:p w14:paraId="079872C2" w14:textId="77777777" w:rsidR="0053120E" w:rsidRDefault="0053120E" w:rsidP="00EE501A">
      <w:pPr>
        <w:pStyle w:val="Brdtekst"/>
        <w:numPr>
          <w:ilvl w:val="0"/>
          <w:numId w:val="11"/>
        </w:numPr>
      </w:pPr>
      <w:r>
        <w:t>Artikkel 1.8 – Effektiv dato</w:t>
      </w:r>
    </w:p>
    <w:p w14:paraId="7E773C3D" w14:textId="77777777" w:rsidR="0053120E" w:rsidRDefault="0053120E" w:rsidP="0053120E">
      <w:pPr>
        <w:pStyle w:val="Listeavsnitt"/>
        <w:jc w:val="both"/>
      </w:pPr>
    </w:p>
    <w:p w14:paraId="3F4EE01A" w14:textId="77777777" w:rsidR="0053120E" w:rsidRDefault="0053120E" w:rsidP="00EE501A">
      <w:pPr>
        <w:pStyle w:val="Brdtekst"/>
      </w:pPr>
      <w:r>
        <w:t>Alternativ 1 legger til grunn avtalens signeringsdato som effektiv dato. I de tilfellene hvor man ønsker å legge til grunn en effektiv dato bakover (eller fremover) i tid fra signeringen, anbefales det at man benytter Alternativ 2.</w:t>
      </w:r>
    </w:p>
    <w:p w14:paraId="4FF82DAB" w14:textId="77777777" w:rsidR="0053120E" w:rsidRDefault="0053120E" w:rsidP="00EE501A">
      <w:pPr>
        <w:pStyle w:val="Brdtekst"/>
      </w:pPr>
    </w:p>
    <w:p w14:paraId="7EFCEC5B" w14:textId="5C20C03A" w:rsidR="0053120E" w:rsidRDefault="007937C1" w:rsidP="00EE501A">
      <w:pPr>
        <w:pStyle w:val="Brdtekst"/>
        <w:numPr>
          <w:ilvl w:val="0"/>
          <w:numId w:val="11"/>
        </w:numPr>
      </w:pPr>
      <w:r>
        <w:t>Artikkel 5 – Styringskomité</w:t>
      </w:r>
      <w:r w:rsidR="0053120E">
        <w:t xml:space="preserve"> eller mer uformelt samarbeid</w:t>
      </w:r>
    </w:p>
    <w:p w14:paraId="48046D33" w14:textId="77777777" w:rsidR="0053120E" w:rsidRDefault="0053120E" w:rsidP="00EE501A">
      <w:pPr>
        <w:pStyle w:val="Brdtekst"/>
      </w:pPr>
    </w:p>
    <w:p w14:paraId="6CDE0708" w14:textId="77777777" w:rsidR="0053120E" w:rsidRDefault="0053120E" w:rsidP="00EE501A">
      <w:pPr>
        <w:pStyle w:val="Brdtekst"/>
      </w:pPr>
      <w:r>
        <w:t xml:space="preserve">Arbeidsgruppen har lagt til grunn to hovedformer for struktureringen av samarbeidet; </w:t>
      </w:r>
    </w:p>
    <w:p w14:paraId="1CC09F04" w14:textId="77777777" w:rsidR="0053120E" w:rsidRDefault="0053120E" w:rsidP="00EE501A">
      <w:pPr>
        <w:pStyle w:val="Brdtekst"/>
      </w:pPr>
    </w:p>
    <w:p w14:paraId="24A11F84" w14:textId="6A262518" w:rsidR="0053120E" w:rsidRDefault="0053120E" w:rsidP="00EE501A">
      <w:pPr>
        <w:pStyle w:val="Brdtekst"/>
      </w:pPr>
      <w:r>
        <w:t>Alternativ 1 legger til grunn et mer formalisert samarbeid mellom partene gjen</w:t>
      </w:r>
      <w:r w:rsidR="007937C1">
        <w:t>nom bruken av en styringskomité</w:t>
      </w:r>
      <w:r>
        <w:t>. Merk at dersom dette alternativet benyttes skal man bruke alternativet «</w:t>
      </w:r>
      <w:proofErr w:type="spellStart"/>
      <w:r>
        <w:t>Steering</w:t>
      </w:r>
      <w:proofErr w:type="spellEnd"/>
      <w:r>
        <w:t xml:space="preserve"> Committee» hvor det i andre bestemmelser er referert til «[</w:t>
      </w:r>
      <w:proofErr w:type="spellStart"/>
      <w:r>
        <w:t>Steering</w:t>
      </w:r>
      <w:proofErr w:type="spellEnd"/>
      <w:r>
        <w:t xml:space="preserve"> </w:t>
      </w:r>
      <w:proofErr w:type="spellStart"/>
      <w:r>
        <w:t>Commitee</w:t>
      </w:r>
      <w:proofErr w:type="spellEnd"/>
      <w:r>
        <w:t>/</w:t>
      </w:r>
      <w:proofErr w:type="spellStart"/>
      <w:r>
        <w:t>Parties</w:t>
      </w:r>
      <w:proofErr w:type="spellEnd"/>
      <w:r>
        <w:t>]».</w:t>
      </w:r>
    </w:p>
    <w:p w14:paraId="5442D43B" w14:textId="77777777" w:rsidR="0053120E" w:rsidRDefault="0053120E" w:rsidP="00EE501A">
      <w:pPr>
        <w:pStyle w:val="Brdtekst"/>
      </w:pPr>
    </w:p>
    <w:p w14:paraId="22D4CE00" w14:textId="77777777" w:rsidR="0053120E" w:rsidRDefault="0053120E" w:rsidP="00EE501A">
      <w:pPr>
        <w:pStyle w:val="Brdtekst"/>
      </w:pPr>
      <w:r>
        <w:t>Alternativ 2 legger til grunn et mer uformelt samarbeid mellom partene. Det forutsettes her at partene i praksis finner en hensiktsmessig form for samarbeid uten å formalisere mekanismene for dette. Merk at dersom dette alternativet benyttes skal man bruke alternativet «</w:t>
      </w:r>
      <w:proofErr w:type="spellStart"/>
      <w:r>
        <w:t>Parties</w:t>
      </w:r>
      <w:proofErr w:type="spellEnd"/>
      <w:r>
        <w:t>» hvor det i andre bestemmelser er referert til «[</w:t>
      </w:r>
      <w:proofErr w:type="spellStart"/>
      <w:r>
        <w:t>Steering</w:t>
      </w:r>
      <w:proofErr w:type="spellEnd"/>
      <w:r>
        <w:t xml:space="preserve"> </w:t>
      </w:r>
      <w:proofErr w:type="spellStart"/>
      <w:r>
        <w:t>Commitee</w:t>
      </w:r>
      <w:proofErr w:type="spellEnd"/>
      <w:r>
        <w:t>/</w:t>
      </w:r>
      <w:proofErr w:type="spellStart"/>
      <w:r>
        <w:t>Parties</w:t>
      </w:r>
      <w:proofErr w:type="spellEnd"/>
      <w:r>
        <w:t>]».</w:t>
      </w:r>
    </w:p>
    <w:p w14:paraId="58EFA56C" w14:textId="77777777" w:rsidR="0053120E" w:rsidRDefault="0053120E" w:rsidP="0053120E">
      <w:pPr>
        <w:pStyle w:val="Listeavsnitt"/>
        <w:jc w:val="both"/>
      </w:pPr>
    </w:p>
    <w:p w14:paraId="7CAA0EC0" w14:textId="77777777" w:rsidR="0053120E" w:rsidRDefault="0053120E" w:rsidP="00EE501A">
      <w:pPr>
        <w:pStyle w:val="Brdtekst"/>
        <w:numPr>
          <w:ilvl w:val="0"/>
          <w:numId w:val="11"/>
        </w:numPr>
      </w:pPr>
      <w:r>
        <w:t>Artikkel 9.2 – Kostnadsreguleringer</w:t>
      </w:r>
    </w:p>
    <w:p w14:paraId="2304D8E2" w14:textId="77777777" w:rsidR="0053120E" w:rsidRDefault="0053120E" w:rsidP="00EE501A">
      <w:pPr>
        <w:pStyle w:val="Brdtekst"/>
      </w:pPr>
    </w:p>
    <w:p w14:paraId="0C0116C5" w14:textId="77777777" w:rsidR="0053120E" w:rsidRDefault="0053120E" w:rsidP="00EE501A">
      <w:pPr>
        <w:pStyle w:val="Brdtekst"/>
      </w:pPr>
      <w:r>
        <w:t xml:space="preserve">I artikkel 9.2 har arbeidsgruppen lagt til grunn to hovedformer for regulering av kostnadsallokering mv. I noen samarbeid kan det være ønskelig å ikke ha noen slike reguleringer, men kun benytte seg av utgangspunktet i artikkel 9.1 om at hver part bærer sine egne kostnader. Merk at dersom artikkel 9.2 ikke benyttes i sin helhet så skal heller ikke artikkel 9.3 benyttes. </w:t>
      </w:r>
    </w:p>
    <w:p w14:paraId="20D32DAE" w14:textId="77777777" w:rsidR="0053120E" w:rsidRDefault="0053120E" w:rsidP="00EE501A">
      <w:pPr>
        <w:pStyle w:val="Brdtekst"/>
      </w:pPr>
    </w:p>
    <w:p w14:paraId="608C22D5" w14:textId="77777777" w:rsidR="0053120E" w:rsidRDefault="0053120E" w:rsidP="00EE501A">
      <w:pPr>
        <w:pStyle w:val="Brdtekst"/>
      </w:pPr>
      <w:r>
        <w:t xml:space="preserve">Alternativ 1 legger til grunn prinsippet om at prosjektlederens kostnader, og eventuelle tredjepartskostnader i den grad disse er godkjent av partene, skal dekkes av alle partene. </w:t>
      </w:r>
    </w:p>
    <w:p w14:paraId="7B212F2D" w14:textId="77777777" w:rsidR="0053120E" w:rsidRDefault="0053120E" w:rsidP="00EE501A">
      <w:pPr>
        <w:pStyle w:val="Brdtekst"/>
      </w:pPr>
    </w:p>
    <w:p w14:paraId="431BBD78" w14:textId="77777777" w:rsidR="0053120E" w:rsidRDefault="0053120E" w:rsidP="00EE501A">
      <w:pPr>
        <w:pStyle w:val="Brdtekst"/>
      </w:pPr>
      <w:r>
        <w:t xml:space="preserve">Alternativ 2 legger til grunn at man benytter seg av et budsjett for alle kostnadene som skal dekkes av alle partene. Et slikt budsjett kan enten være oppstilt ved avtaleinngåelsen som kan være inntatt som et vedlegg B, eller bli utarbeidet underveis i samarbeidet. </w:t>
      </w:r>
    </w:p>
    <w:p w14:paraId="69E1C758" w14:textId="77777777" w:rsidR="0053120E" w:rsidRDefault="0053120E" w:rsidP="00EE501A">
      <w:pPr>
        <w:pStyle w:val="Brdtekst"/>
      </w:pPr>
    </w:p>
    <w:p w14:paraId="1A4082A2" w14:textId="77777777" w:rsidR="0053120E" w:rsidRDefault="0053120E" w:rsidP="00EE501A">
      <w:pPr>
        <w:pStyle w:val="Brdtekst"/>
      </w:pPr>
      <w:r>
        <w:t xml:space="preserve">Det er også inntatt bestemmelser som vil være relevante i den grad partene i det konkrete samarbeidet er enige om slike reguleringer. På grunn av konsistenshensyn i </w:t>
      </w:r>
      <w:r>
        <w:lastRenderedPageBreak/>
        <w:t>avtalestrukturen anbefales det at i den grad disse bestemmelsene utgjør en selvstendig klausul, strykes den aktuelle bestemmelsen og merkes med ‘Not used’ dersom den ikke benyttes i det konkrete samarbeidet. I de tilfeller hvor bestemmelsene ikke utgjør en selvstendig klausul, legges det til grunn at de tas ut av avtaledokumentet dersom partene ikke ønsker den angitte reguleringen. De vesentligste av disse valgfrie bestemmelsene er:</w:t>
      </w:r>
    </w:p>
    <w:p w14:paraId="72F1BD19" w14:textId="77777777" w:rsidR="00DD5883" w:rsidRDefault="00DD5883" w:rsidP="0053120E">
      <w:pPr>
        <w:ind w:left="708"/>
        <w:jc w:val="both"/>
      </w:pPr>
    </w:p>
    <w:p w14:paraId="37E032C1" w14:textId="77777777" w:rsidR="0053120E" w:rsidRDefault="0053120E" w:rsidP="00EE501A">
      <w:pPr>
        <w:pStyle w:val="Brdtekst"/>
        <w:numPr>
          <w:ilvl w:val="0"/>
          <w:numId w:val="11"/>
        </w:numPr>
      </w:pPr>
      <w:r>
        <w:t>Artikkel 3.1 og 10.2 – Konfidensialitetsperiode</w:t>
      </w:r>
    </w:p>
    <w:p w14:paraId="2F07EEE8" w14:textId="77777777" w:rsidR="0053120E" w:rsidRDefault="0053120E" w:rsidP="0053120E">
      <w:pPr>
        <w:pStyle w:val="Listeavsnitt"/>
        <w:jc w:val="both"/>
      </w:pPr>
    </w:p>
    <w:p w14:paraId="5E64F71F" w14:textId="77777777" w:rsidR="0053120E" w:rsidRDefault="0053120E" w:rsidP="00EE501A">
      <w:pPr>
        <w:pStyle w:val="Brdtekst"/>
      </w:pPr>
      <w:r w:rsidRPr="00523E34">
        <w:t>Utgangspunktet i artikkel 3.1 er at det ikke legges til grunn en konkret tidsmessig avslutning av konfidensialitetsperioden etter at avtalen er avsluttet. I de tilfellene hvor partene likevel ønsker en slik tidsmessig begrensning kan et slikt tidspunkt angis i denne reguleringen. Tilsvarende gjelder i forhold til hemmeligholdelse av informasjon utarbeidet under avtalen i medhold av artikkel 10.2.</w:t>
      </w:r>
    </w:p>
    <w:p w14:paraId="62694CFB" w14:textId="77777777" w:rsidR="0053120E" w:rsidRDefault="0053120E" w:rsidP="00EE501A">
      <w:pPr>
        <w:pStyle w:val="Brdtekst"/>
      </w:pPr>
    </w:p>
    <w:p w14:paraId="7CBB2886" w14:textId="28A43E72" w:rsidR="0053120E" w:rsidRDefault="0053120E" w:rsidP="00EE501A">
      <w:pPr>
        <w:pStyle w:val="Brdtekst"/>
        <w:numPr>
          <w:ilvl w:val="0"/>
          <w:numId w:val="11"/>
        </w:numPr>
      </w:pPr>
      <w:r>
        <w:t>Artikkel 4.2 – Oper</w:t>
      </w:r>
      <w:r w:rsidR="00306DFC">
        <w:t>a</w:t>
      </w:r>
      <w:r>
        <w:t>tørskap</w:t>
      </w:r>
    </w:p>
    <w:p w14:paraId="330E99BC" w14:textId="77777777" w:rsidR="0053120E" w:rsidRDefault="0053120E" w:rsidP="0053120E">
      <w:pPr>
        <w:pStyle w:val="Listeavsnitt"/>
        <w:jc w:val="both"/>
      </w:pPr>
    </w:p>
    <w:p w14:paraId="522CA147" w14:textId="77777777" w:rsidR="0053120E" w:rsidRDefault="0053120E" w:rsidP="00EE501A">
      <w:pPr>
        <w:pStyle w:val="Brdtekst"/>
      </w:pPr>
      <w:r>
        <w:t>Denne bestemmelsen forutsetter at partene ved avtaleinngåelsen er enige om at en av partene skal bli foreslått som operatør i en eventuell søknad. Dersom partene ved avtaleinngåelsen ikke er enige om dette, legges det til grunn at dette spørsmålet vil bli håndtert gjennom de generelle mekanismene i artikkel 7 om ferdigstillelse av en eventuell søknad.</w:t>
      </w:r>
    </w:p>
    <w:p w14:paraId="153414C9" w14:textId="77777777" w:rsidR="0053120E" w:rsidRDefault="0053120E" w:rsidP="0053120E">
      <w:pPr>
        <w:pStyle w:val="Listeavsnitt"/>
        <w:jc w:val="both"/>
      </w:pPr>
    </w:p>
    <w:p w14:paraId="0A0E1D64" w14:textId="77777777" w:rsidR="0053120E" w:rsidRDefault="0053120E" w:rsidP="00EE501A">
      <w:pPr>
        <w:pStyle w:val="Brdtekst"/>
        <w:numPr>
          <w:ilvl w:val="0"/>
          <w:numId w:val="11"/>
        </w:numPr>
      </w:pPr>
      <w:r>
        <w:t>Artikkel 4.4 – Prosjektlederens oppgaver</w:t>
      </w:r>
    </w:p>
    <w:p w14:paraId="5A8A4BE9" w14:textId="77777777" w:rsidR="0053120E" w:rsidRDefault="0053120E" w:rsidP="0053120E">
      <w:pPr>
        <w:pStyle w:val="Listeavsnitt"/>
        <w:jc w:val="both"/>
      </w:pPr>
    </w:p>
    <w:p w14:paraId="068F0789" w14:textId="77777777" w:rsidR="0053120E" w:rsidRDefault="0053120E" w:rsidP="00EE501A">
      <w:pPr>
        <w:pStyle w:val="Brdtekst"/>
      </w:pPr>
      <w:r>
        <w:t xml:space="preserve">Man har i denne listen inntatt oppgaver som man anser normalt vil falle inn under en Prosjektleders </w:t>
      </w:r>
      <w:proofErr w:type="spellStart"/>
      <w:r>
        <w:t>hovedplikter</w:t>
      </w:r>
      <w:proofErr w:type="spellEnd"/>
      <w:r>
        <w:t>. Det anbefales at partene likevel gjennomgår de angitte oppgavene og vurderer hvorvidt man før man inngår avtalen justerer og/eller supplerer listen av oppgaver.</w:t>
      </w:r>
    </w:p>
    <w:p w14:paraId="3820B6BC" w14:textId="77777777" w:rsidR="0053120E" w:rsidRDefault="0053120E" w:rsidP="00EE501A">
      <w:pPr>
        <w:pStyle w:val="Brdtekst"/>
      </w:pPr>
    </w:p>
    <w:p w14:paraId="5A0F2B54" w14:textId="77777777" w:rsidR="0053120E" w:rsidRDefault="0053120E" w:rsidP="00EE501A">
      <w:pPr>
        <w:pStyle w:val="Brdtekst"/>
      </w:pPr>
      <w:r>
        <w:t xml:space="preserve">Merk at disse pliktene er knyttet opp til de øvrige partenes plikter i artikkel 6, slik at det ligger en fleksibilitet for partene til under samarbeidet å bli enige om det konkrete innholdet i disse pliktene.   </w:t>
      </w:r>
    </w:p>
    <w:p w14:paraId="12FE17F9" w14:textId="77777777" w:rsidR="0053120E" w:rsidRDefault="0053120E" w:rsidP="0053120E">
      <w:pPr>
        <w:pStyle w:val="Listeavsnitt"/>
        <w:jc w:val="both"/>
      </w:pPr>
    </w:p>
    <w:p w14:paraId="38EA78DC" w14:textId="77777777" w:rsidR="0053120E" w:rsidRDefault="0053120E" w:rsidP="00EE501A">
      <w:pPr>
        <w:pStyle w:val="Brdtekst"/>
        <w:numPr>
          <w:ilvl w:val="0"/>
          <w:numId w:val="11"/>
        </w:numPr>
      </w:pPr>
      <w:r>
        <w:t>Artikkel 7.4 – Notifiseringsplikt</w:t>
      </w:r>
    </w:p>
    <w:p w14:paraId="162B5BC1" w14:textId="77777777" w:rsidR="0053120E" w:rsidRDefault="0053120E" w:rsidP="0053120E">
      <w:pPr>
        <w:pStyle w:val="Listeavsnitt"/>
        <w:jc w:val="both"/>
      </w:pPr>
    </w:p>
    <w:p w14:paraId="186BA7B3" w14:textId="77777777" w:rsidR="0053120E" w:rsidRDefault="0053120E" w:rsidP="00EE501A">
      <w:pPr>
        <w:pStyle w:val="Brdtekst"/>
      </w:pPr>
      <w:r>
        <w:t>Dersom et spesifikt angitt areal unntas fra avtalen kan en (eller flere) av partene søke om utvinningstillatelse(r) for dette området utenfor mekanismene i avtalen. Det kan likevel være i samarbeidets interesse at det opplyses om beslutning om en slik søknad for eksempel for å unngå uenighet om grensene for det aktuelle området. I så tilfellet har man utarbeidet en mekanisme for dette som ikke begrenser søknaden.</w:t>
      </w:r>
    </w:p>
    <w:p w14:paraId="750D346C" w14:textId="77777777" w:rsidR="0053120E" w:rsidRDefault="0053120E" w:rsidP="0053120E">
      <w:pPr>
        <w:pStyle w:val="Listeavsnitt"/>
        <w:jc w:val="both"/>
      </w:pPr>
    </w:p>
    <w:p w14:paraId="16A10E7F" w14:textId="77777777" w:rsidR="0053120E" w:rsidRDefault="0053120E" w:rsidP="00EE501A">
      <w:pPr>
        <w:pStyle w:val="Brdtekst"/>
        <w:numPr>
          <w:ilvl w:val="0"/>
          <w:numId w:val="11"/>
        </w:numPr>
      </w:pPr>
      <w:r>
        <w:t>Artikkel 10.1 – Vedlegg over opplysninger</w:t>
      </w:r>
    </w:p>
    <w:p w14:paraId="3BB5C9F8" w14:textId="77777777" w:rsidR="0053120E" w:rsidRDefault="0053120E" w:rsidP="0053120E">
      <w:pPr>
        <w:pStyle w:val="Listeavsnitt"/>
        <w:jc w:val="both"/>
      </w:pPr>
    </w:p>
    <w:p w14:paraId="481212E6" w14:textId="77777777" w:rsidR="0053120E" w:rsidRDefault="0053120E" w:rsidP="00EE501A">
      <w:pPr>
        <w:pStyle w:val="Brdtekst"/>
      </w:pPr>
      <w:r>
        <w:t>Artikkel 10.1 legger til grunn et generelt prinsipp om deling av relevant informasjon. I den grad partene ved avtaleinngåelsen ønsker å særlig angi hva man anser som relevant informasjon, eller angi hvilken type / grad av informasjon man ikke skal utveksle, kan dette gjøres i et eget vedlegg D. Merk at dersom man velger å bruke både dette vedlegget og vedlegg C så kan man vurdere å slå sammen disse til ett vedlegg i den grad disse er overlappende.</w:t>
      </w:r>
    </w:p>
    <w:p w14:paraId="786BD94B" w14:textId="77777777" w:rsidR="0053120E" w:rsidRDefault="0053120E" w:rsidP="00EE501A">
      <w:pPr>
        <w:pStyle w:val="Brdtekst"/>
      </w:pPr>
    </w:p>
    <w:p w14:paraId="5C7C06FC" w14:textId="18F2B030" w:rsidR="0053120E" w:rsidRDefault="0053120E" w:rsidP="00EE501A">
      <w:pPr>
        <w:pStyle w:val="Brdtekst"/>
        <w:numPr>
          <w:ilvl w:val="0"/>
          <w:numId w:val="11"/>
        </w:numPr>
      </w:pPr>
      <w:r>
        <w:lastRenderedPageBreak/>
        <w:t>Artikkel 14.1 – Tidsbegrensning for uttreden av avtalen</w:t>
      </w:r>
    </w:p>
    <w:p w14:paraId="1D24CB63" w14:textId="77777777" w:rsidR="0053120E" w:rsidRDefault="0053120E" w:rsidP="0053120E">
      <w:pPr>
        <w:pStyle w:val="Listeavsnitt"/>
        <w:jc w:val="both"/>
      </w:pPr>
    </w:p>
    <w:p w14:paraId="279B66A3" w14:textId="77777777" w:rsidR="0053120E" w:rsidRDefault="0053120E" w:rsidP="00EE501A">
      <w:pPr>
        <w:pStyle w:val="Brdtekst"/>
      </w:pPr>
      <w:r>
        <w:t xml:space="preserve">I noen tilfeller kan det være ønskelig at samarbeidet modnes noe før en part eventuelt trekker seg ut av avtalen. Dette kan for eksempel være i situasjoner hvor man igangsetter tredjepartsarbeid. </w:t>
      </w:r>
    </w:p>
    <w:p w14:paraId="034AB191" w14:textId="77777777" w:rsidR="007937C1" w:rsidRDefault="007937C1" w:rsidP="00EE501A">
      <w:pPr>
        <w:pStyle w:val="Brdtekst"/>
      </w:pPr>
    </w:p>
    <w:p w14:paraId="0FBD549C" w14:textId="77777777" w:rsidR="0053120E" w:rsidRDefault="0053120E" w:rsidP="00EE501A">
      <w:pPr>
        <w:pStyle w:val="Brdtekst"/>
      </w:pPr>
      <w:r>
        <w:t>Det har under arbeidsgruppens arbeid vært omfattende diskusjoner knyttet til konfidensialitet. Det er derfor relevant å komme med noen særskilte kommentarer noen av reguleringene knyttet til dette temaet:</w:t>
      </w:r>
    </w:p>
    <w:p w14:paraId="638AACC3" w14:textId="77777777" w:rsidR="007937C1" w:rsidRDefault="007937C1" w:rsidP="00EE501A">
      <w:pPr>
        <w:pStyle w:val="Brdtekst"/>
      </w:pPr>
    </w:p>
    <w:p w14:paraId="6D638C88" w14:textId="77777777" w:rsidR="0053120E" w:rsidRDefault="0053120E" w:rsidP="00EE501A">
      <w:pPr>
        <w:pStyle w:val="Brdtekst"/>
        <w:numPr>
          <w:ilvl w:val="0"/>
          <w:numId w:val="11"/>
        </w:numPr>
      </w:pPr>
      <w:r>
        <w:t>Avtaler skiller i artikkel 10.2 og artikkel 10.3 mellom to typer informasjon; henholdsvis ’</w:t>
      </w:r>
      <w:proofErr w:type="spellStart"/>
      <w:r>
        <w:t>Confidential</w:t>
      </w:r>
      <w:proofErr w:type="spellEnd"/>
      <w:r>
        <w:t xml:space="preserve"> Information’, jf. artikkel 1.7, og ’Joint </w:t>
      </w:r>
      <w:proofErr w:type="spellStart"/>
      <w:r>
        <w:t>Developed</w:t>
      </w:r>
      <w:proofErr w:type="spellEnd"/>
      <w:r>
        <w:t xml:space="preserve"> Information’, jf. artikkel 1.10. Førstnevnte kategori omfatter informasjon som én avtalepart utarbeider utenfor AMI samarbeidet, men likevel velger å bringe inn i de felles diskusjoner under AMI samarbeidet, jf. artikkel 10.1. ’Joint </w:t>
      </w:r>
      <w:proofErr w:type="spellStart"/>
      <w:r>
        <w:t>Developed</w:t>
      </w:r>
      <w:proofErr w:type="spellEnd"/>
      <w:r>
        <w:t xml:space="preserve"> Information’ omfatter informasjon som utarbeides av en eller flere avtaleparter innenfor AMI samarbeidet. </w:t>
      </w:r>
    </w:p>
    <w:p w14:paraId="1F132F86" w14:textId="77777777" w:rsidR="0053120E" w:rsidRDefault="0053120E" w:rsidP="00EE501A">
      <w:pPr>
        <w:pStyle w:val="Brdtekst"/>
      </w:pPr>
    </w:p>
    <w:p w14:paraId="3E12F3BB" w14:textId="77777777" w:rsidR="0053120E" w:rsidRDefault="0053120E" w:rsidP="00EE501A">
      <w:pPr>
        <w:pStyle w:val="Brdtekst"/>
        <w:numPr>
          <w:ilvl w:val="0"/>
          <w:numId w:val="11"/>
        </w:numPr>
      </w:pPr>
      <w:r>
        <w:t xml:space="preserve">I medhold av artikkel 11 er utgangspunktet at </w:t>
      </w:r>
      <w:proofErr w:type="gramStart"/>
      <w:r>
        <w:t>all ’</w:t>
      </w:r>
      <w:proofErr w:type="spellStart"/>
      <w:r>
        <w:t>Confidential</w:t>
      </w:r>
      <w:proofErr w:type="spellEnd"/>
      <w:proofErr w:type="gramEnd"/>
      <w:r>
        <w:t xml:space="preserve"> Information’ og ’Joint </w:t>
      </w:r>
      <w:proofErr w:type="spellStart"/>
      <w:r>
        <w:t>Developed</w:t>
      </w:r>
      <w:proofErr w:type="spellEnd"/>
      <w:r>
        <w:t xml:space="preserve"> Information’ skal behandles konfidensielt av avtalepartene med de unntak som angi i artikkel 11. Et spesielt unntak fremkommer av artikkel 11.2, første avsnitt, iii); i samsvar med og innenfor de reguleringene som gjelder i Samarbeidsavtalen, kan en avtalepart dele ’Joint </w:t>
      </w:r>
      <w:proofErr w:type="spellStart"/>
      <w:r>
        <w:t>Developed</w:t>
      </w:r>
      <w:proofErr w:type="spellEnd"/>
      <w:r>
        <w:t xml:space="preserve"> Information’ med sine øvrige rettighetshavere i en utvinningstillatelse tildelt innenfor ’Area </w:t>
      </w:r>
      <w:proofErr w:type="spellStart"/>
      <w:r>
        <w:t>of</w:t>
      </w:r>
      <w:proofErr w:type="spellEnd"/>
      <w:r>
        <w:t xml:space="preserve"> Mutual </w:t>
      </w:r>
      <w:proofErr w:type="spellStart"/>
      <w:r>
        <w:t>Interest</w:t>
      </w:r>
      <w:proofErr w:type="spellEnd"/>
      <w:r>
        <w:t>’. Slik informasjonsdeling trenger ikke samtykke fra de øvrige avtalepartene fra AMI avtalen (uavhengig av hvorvidt sistnevnte parter er eller ikke er rettighetshavere i den aktuelle utvinningstillatelsen).</w:t>
      </w:r>
      <w:r>
        <w:rPr>
          <w:rStyle w:val="Fotnotereferanse"/>
        </w:rPr>
        <w:footnoteReference w:id="2"/>
      </w:r>
      <w:r>
        <w:t xml:space="preserve"> Når det </w:t>
      </w:r>
      <w:proofErr w:type="gramStart"/>
      <w:r>
        <w:t>gjelder ’</w:t>
      </w:r>
      <w:proofErr w:type="spellStart"/>
      <w:r>
        <w:t>Confidential</w:t>
      </w:r>
      <w:proofErr w:type="spellEnd"/>
      <w:proofErr w:type="gramEnd"/>
      <w:r>
        <w:t xml:space="preserve"> Information’ kan slik informasjon ikke deles uten samtykke fra eieren av denne informasjonen. </w:t>
      </w:r>
    </w:p>
    <w:p w14:paraId="781D34C8" w14:textId="77777777" w:rsidR="0053120E" w:rsidRPr="004039AE" w:rsidRDefault="0053120E" w:rsidP="00EE501A">
      <w:pPr>
        <w:pStyle w:val="Brdtekst"/>
      </w:pPr>
    </w:p>
    <w:p w14:paraId="137ED36C" w14:textId="77777777" w:rsidR="0053120E" w:rsidRDefault="0053120E" w:rsidP="00EE501A">
      <w:pPr>
        <w:pStyle w:val="Brdtekst"/>
        <w:numPr>
          <w:ilvl w:val="0"/>
          <w:numId w:val="11"/>
        </w:numPr>
      </w:pPr>
      <w:r>
        <w:t>Arbeidsgruppen erkjenner for øvrig at det kan foreligge spesielle tilfeller hvor det vil være relevant å regulere konfidensialitetsspørsmålet noe annerledes enn den nevnte reguleringen. Dette kan for eksempel være hvor det innenfor AMI samarbeidet er aktuelt å videreutvikle områdestudier som allerede er utarbeidet av en part forut for AMI samarbeidet. Det forutsettes at partene i slike tilfeller selv finner en hensiktsmessig regulering og adresserer dette overfor Olje- og energidepartementet i sin oversendelse av avtalen i medhold av petroleumsloven § 3-4.</w:t>
      </w:r>
    </w:p>
    <w:p w14:paraId="038185F8" w14:textId="77777777" w:rsidR="0053120E" w:rsidRDefault="0053120E" w:rsidP="00EE501A">
      <w:pPr>
        <w:pStyle w:val="Brdtekst"/>
      </w:pPr>
    </w:p>
    <w:p w14:paraId="1AFD2342" w14:textId="77777777" w:rsidR="0053120E" w:rsidRPr="00523E34" w:rsidRDefault="0053120E" w:rsidP="00EE501A">
      <w:pPr>
        <w:pStyle w:val="Brdtekst"/>
        <w:numPr>
          <w:ilvl w:val="0"/>
          <w:numId w:val="11"/>
        </w:numPr>
      </w:pPr>
      <w:r>
        <w:t>Merk at det i artikkel 1.7 er inntatt en mulighet for å bruke et eget vedlegg C for å identifisere spesifikke dokumenter som skal anses for å være ‘</w:t>
      </w:r>
      <w:proofErr w:type="spellStart"/>
      <w:r>
        <w:t>Confidential</w:t>
      </w:r>
      <w:proofErr w:type="spellEnd"/>
      <w:r>
        <w:t xml:space="preserve"> Information’. </w:t>
      </w:r>
    </w:p>
    <w:p w14:paraId="15B9E426" w14:textId="6F1D0BBB" w:rsidR="00C33D2A" w:rsidRPr="00A215A9" w:rsidRDefault="00C33D2A" w:rsidP="00EE501A">
      <w:pPr>
        <w:pStyle w:val="Brdtekst"/>
      </w:pPr>
    </w:p>
    <w:sectPr w:rsidR="00C33D2A" w:rsidRPr="00A215A9" w:rsidSect="00C76C08">
      <w:pgSz w:w="11906" w:h="16838" w:code="9"/>
      <w:pgMar w:top="1956" w:right="1559" w:bottom="851" w:left="1559"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29D5D" w14:textId="77777777" w:rsidR="00A71F27" w:rsidRDefault="00A71F27" w:rsidP="00AC67C8">
      <w:r>
        <w:separator/>
      </w:r>
    </w:p>
  </w:endnote>
  <w:endnote w:type="continuationSeparator" w:id="0">
    <w:p w14:paraId="4B13827D" w14:textId="77777777" w:rsidR="00A71F27" w:rsidRDefault="00A71F27" w:rsidP="00AC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CA41" w14:textId="77777777" w:rsidR="002A5085" w:rsidRDefault="002A508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53DD" w14:textId="77777777" w:rsidR="002A5085" w:rsidRDefault="002A5085">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6C3E" w14:textId="77777777" w:rsidR="002A5085" w:rsidRDefault="002A508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212F4" w14:textId="77777777" w:rsidR="00A71F27" w:rsidRDefault="00A71F27" w:rsidP="00AC67C8">
      <w:r>
        <w:separator/>
      </w:r>
    </w:p>
  </w:footnote>
  <w:footnote w:type="continuationSeparator" w:id="0">
    <w:p w14:paraId="753D0DDA" w14:textId="77777777" w:rsidR="00A71F27" w:rsidRDefault="00A71F27" w:rsidP="00AC67C8">
      <w:r>
        <w:continuationSeparator/>
      </w:r>
    </w:p>
  </w:footnote>
  <w:footnote w:id="1">
    <w:p w14:paraId="7C3E5C3C" w14:textId="18A7CBEB" w:rsidR="0053120E" w:rsidRPr="00F5574F" w:rsidRDefault="0053120E" w:rsidP="0053120E">
      <w:pPr>
        <w:pStyle w:val="Fotnotetekst"/>
        <w:rPr>
          <w:lang w:val="nb-NO"/>
        </w:rPr>
      </w:pPr>
      <w:r>
        <w:rPr>
          <w:rStyle w:val="Fotnotereferanse"/>
        </w:rPr>
        <w:footnoteRef/>
      </w:r>
      <w:r w:rsidRPr="00F5574F">
        <w:rPr>
          <w:lang w:val="nb-NO"/>
        </w:rPr>
        <w:t xml:space="preserve"> </w:t>
      </w:r>
      <w:r w:rsidR="007937C1">
        <w:rPr>
          <w:lang w:val="nb-NO"/>
        </w:rPr>
        <w:t>I henhold til O</w:t>
      </w:r>
      <w:r>
        <w:rPr>
          <w:lang w:val="nb-NO"/>
        </w:rPr>
        <w:t>ljedirektoratets «Veiledning for søknad om utvinningstillatelse TFO 2013» er det normalt et kriterium at alle rettighetshaverne i den eksisterende utvinningstillatelsen er søkere for «tilleggsarealet» og at det søkes om en fordeling av eierandelene som er identisk med eksisterende utvinningstillatelse.</w:t>
      </w:r>
    </w:p>
  </w:footnote>
  <w:footnote w:id="2">
    <w:p w14:paraId="7F657203" w14:textId="77777777" w:rsidR="0053120E" w:rsidRPr="00726342" w:rsidRDefault="0053120E" w:rsidP="0053120E">
      <w:pPr>
        <w:pStyle w:val="Fotnotetekst"/>
        <w:rPr>
          <w:lang w:val="nb-NO"/>
        </w:rPr>
      </w:pPr>
      <w:r>
        <w:rPr>
          <w:rStyle w:val="Fotnotereferanse"/>
        </w:rPr>
        <w:footnoteRef/>
      </w:r>
      <w:r w:rsidRPr="00726342">
        <w:rPr>
          <w:lang w:val="nb-NO"/>
        </w:rPr>
        <w:t xml:space="preserve"> </w:t>
      </w:r>
      <w:r>
        <w:rPr>
          <w:lang w:val="nb-NO"/>
        </w:rPr>
        <w:t xml:space="preserve">Denne reguleringen vil først og fremst ha sin funksjon i de tilfeller hvor en eller flere av avtalepartene, men ikke samtlige, blir tildelt en utvinningstillatelse </w:t>
      </w:r>
      <w:proofErr w:type="gramStart"/>
      <w:r>
        <w:rPr>
          <w:lang w:val="nb-NO"/>
        </w:rPr>
        <w:t>innenfor ’Area</w:t>
      </w:r>
      <w:proofErr w:type="gramEnd"/>
      <w:r>
        <w:rPr>
          <w:lang w:val="nb-NO"/>
        </w:rPr>
        <w:t xml:space="preserve"> </w:t>
      </w:r>
      <w:proofErr w:type="spellStart"/>
      <w:r>
        <w:rPr>
          <w:lang w:val="nb-NO"/>
        </w:rPr>
        <w:t>of</w:t>
      </w:r>
      <w:proofErr w:type="spellEnd"/>
      <w:r>
        <w:rPr>
          <w:lang w:val="nb-NO"/>
        </w:rPr>
        <w:t xml:space="preserve"> Mutual </w:t>
      </w:r>
      <w:proofErr w:type="spellStart"/>
      <w:r>
        <w:rPr>
          <w:lang w:val="nb-NO"/>
        </w:rPr>
        <w:t>Interest</w:t>
      </w:r>
      <w:proofErr w:type="spellEnd"/>
      <w:r>
        <w:rPr>
          <w:lang w:val="nb-NO"/>
        </w:rPr>
        <w:t xml:space="preserve">’ sammen med andre aktører.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9A42" w14:textId="77777777" w:rsidR="002A5085" w:rsidRDefault="002A508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C4479" w14:textId="5F15D979" w:rsidR="00C76C08" w:rsidRPr="006F5C6C" w:rsidRDefault="00824FB9" w:rsidP="00C76C08">
    <w:pPr>
      <w:pStyle w:val="Topptekst"/>
      <w:rPr>
        <w:rFonts w:ascii="Arial" w:hAnsi="Arial" w:cs="Arial"/>
      </w:rPr>
    </w:pPr>
    <w:bookmarkStart w:id="0" w:name="_GoBack"/>
    <w:bookmarkEnd w:id="0"/>
    <w:r>
      <w:rPr>
        <w:rFonts w:ascii="Arial" w:hAnsi="Arial" w:cs="Arial"/>
      </w:rPr>
      <w:t>Norsk olje og gass - Anbefalt</w:t>
    </w:r>
    <w:r w:rsidR="00C76C08">
      <w:rPr>
        <w:rFonts w:ascii="Arial" w:hAnsi="Arial" w:cs="Arial"/>
      </w:rPr>
      <w:t xml:space="preserve"> modellavtale AMI for bruk på norsk sokkel</w:t>
    </w:r>
  </w:p>
  <w:p w14:paraId="1B6BAE26" w14:textId="77777777" w:rsidR="00C76C08" w:rsidRPr="006F5C6C" w:rsidRDefault="00C76C08" w:rsidP="00C76C08">
    <w:pPr>
      <w:pStyle w:val="Topptekst"/>
      <w:ind w:firstLine="851"/>
      <w:rPr>
        <w:rFonts w:ascii="Arial" w:hAnsi="Arial" w:cs="Arial"/>
      </w:rPr>
    </w:pPr>
  </w:p>
  <w:p w14:paraId="0D04B9A1" w14:textId="04DA5275" w:rsidR="00C76C08" w:rsidRPr="00760594" w:rsidRDefault="00C76C08" w:rsidP="00C76C08">
    <w:pPr>
      <w:pStyle w:val="Topptekst"/>
      <w:tabs>
        <w:tab w:val="left" w:pos="1134"/>
        <w:tab w:val="left" w:pos="2410"/>
        <w:tab w:val="left" w:pos="4253"/>
        <w:tab w:val="left" w:pos="6237"/>
      </w:tabs>
      <w:rPr>
        <w:rStyle w:val="Sidetall"/>
        <w:rFonts w:ascii="Arial" w:hAnsi="Arial" w:cs="Arial"/>
        <w:lang w:val="nn-NO"/>
      </w:rPr>
    </w:pPr>
    <w:r>
      <w:rPr>
        <w:rFonts w:ascii="Arial" w:hAnsi="Arial" w:cs="Arial"/>
        <w:lang w:val="nn-NO"/>
      </w:rPr>
      <w:t>Nr.: 06</w:t>
    </w:r>
    <w:r>
      <w:rPr>
        <w:rFonts w:ascii="Arial" w:hAnsi="Arial" w:cs="Arial"/>
        <w:lang w:val="nn-NO"/>
      </w:rPr>
      <w:tab/>
      <w:t xml:space="preserve">Etablert: </w:t>
    </w:r>
    <w:r>
      <w:rPr>
        <w:rFonts w:ascii="Arial" w:hAnsi="Arial" w:cs="Arial"/>
        <w:lang w:val="nn-NO"/>
      </w:rPr>
      <w:tab/>
    </w:r>
    <w:r w:rsidRPr="00760594">
      <w:rPr>
        <w:rFonts w:ascii="Arial" w:hAnsi="Arial" w:cs="Arial"/>
        <w:lang w:val="nn-NO"/>
      </w:rPr>
      <w:tab/>
      <w:t xml:space="preserve">Revisjon nr: </w:t>
    </w:r>
    <w:r w:rsidRPr="00760594">
      <w:rPr>
        <w:rFonts w:ascii="Arial" w:hAnsi="Arial" w:cs="Arial"/>
        <w:lang w:val="nn-NO"/>
      </w:rPr>
      <w:tab/>
      <w:t>Rev. dato:</w:t>
    </w:r>
    <w:r w:rsidRPr="00760594">
      <w:rPr>
        <w:rFonts w:ascii="Arial" w:hAnsi="Arial" w:cs="Arial"/>
        <w:lang w:val="nn-NO"/>
      </w:rPr>
      <w:tab/>
      <w:t xml:space="preserve">Side: </w:t>
    </w:r>
    <w:r w:rsidRPr="006F5C6C">
      <w:rPr>
        <w:rStyle w:val="Sidetall"/>
        <w:rFonts w:ascii="Arial" w:hAnsi="Arial" w:cs="Arial"/>
      </w:rPr>
      <w:fldChar w:fldCharType="begin"/>
    </w:r>
    <w:r w:rsidRPr="00760594">
      <w:rPr>
        <w:rStyle w:val="Sidetall"/>
        <w:rFonts w:ascii="Arial" w:hAnsi="Arial" w:cs="Arial"/>
        <w:lang w:val="nn-NO"/>
      </w:rPr>
      <w:instrText xml:space="preserve"> PAGE </w:instrText>
    </w:r>
    <w:r w:rsidRPr="006F5C6C">
      <w:rPr>
        <w:rStyle w:val="Sidetall"/>
        <w:rFonts w:ascii="Arial" w:hAnsi="Arial" w:cs="Arial"/>
      </w:rPr>
      <w:fldChar w:fldCharType="separate"/>
    </w:r>
    <w:r w:rsidR="002A5085">
      <w:rPr>
        <w:rStyle w:val="Sidetall"/>
        <w:rFonts w:ascii="Arial" w:hAnsi="Arial" w:cs="Arial"/>
        <w:noProof/>
        <w:lang w:val="nn-NO"/>
      </w:rPr>
      <w:t>2</w:t>
    </w:r>
    <w:r w:rsidRPr="006F5C6C">
      <w:rPr>
        <w:rStyle w:val="Sidetall"/>
        <w:rFonts w:ascii="Arial" w:hAnsi="Arial" w:cs="Arial"/>
      </w:rPr>
      <w:fldChar w:fldCharType="end"/>
    </w:r>
  </w:p>
  <w:p w14:paraId="09521674" w14:textId="77777777" w:rsidR="00C76C08" w:rsidRPr="00760594" w:rsidRDefault="00C76C08" w:rsidP="00C76C08">
    <w:pPr>
      <w:pStyle w:val="Topptekst"/>
      <w:tabs>
        <w:tab w:val="left" w:pos="1134"/>
        <w:tab w:val="left" w:pos="2410"/>
        <w:tab w:val="left" w:pos="4253"/>
        <w:tab w:val="left" w:pos="6237"/>
      </w:tabs>
      <w:rPr>
        <w:rFonts w:ascii="Arial" w:hAnsi="Arial" w:cs="Arial"/>
        <w:lang w:val="nn-NO"/>
      </w:rPr>
    </w:pPr>
    <w:r w:rsidRPr="00760594">
      <w:rPr>
        <w:rStyle w:val="Sidetall"/>
        <w:rFonts w:ascii="Arial" w:hAnsi="Arial" w:cs="Arial"/>
        <w:lang w:val="nn-NO"/>
      </w:rPr>
      <w:t>___________________________________________________________________</w:t>
    </w:r>
  </w:p>
  <w:p w14:paraId="2D342620" w14:textId="77777777" w:rsidR="00C76C08" w:rsidRPr="00760594" w:rsidRDefault="00C76C08" w:rsidP="00C76C08">
    <w:pPr>
      <w:pStyle w:val="Topptekst"/>
      <w:rPr>
        <w:rFonts w:ascii="Arial" w:hAnsi="Arial" w:cs="Arial"/>
        <w:lang w:val="nn-NO"/>
      </w:rPr>
    </w:pPr>
  </w:p>
  <w:p w14:paraId="44A76620" w14:textId="77777777" w:rsidR="00C76C08" w:rsidRPr="00760594" w:rsidRDefault="00C76C08" w:rsidP="00C76C08">
    <w:pPr>
      <w:pStyle w:val="Topptekst"/>
      <w:rPr>
        <w:rFonts w:ascii="Arial" w:hAnsi="Arial" w:cs="Arial"/>
        <w:lang w:val="nn-N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7BB7" w14:textId="77777777" w:rsidR="002A5085" w:rsidRDefault="002A508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F57BD"/>
    <w:multiLevelType w:val="hybridMultilevel"/>
    <w:tmpl w:val="65E22B3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15:restartNumberingAfterBreak="0">
    <w:nsid w:val="337B4399"/>
    <w:multiLevelType w:val="multilevel"/>
    <w:tmpl w:val="F5EE2B56"/>
    <w:lvl w:ilvl="0">
      <w:start w:val="1"/>
      <w:numFmt w:val="decimal"/>
      <w:pStyle w:val="Overskrift1"/>
      <w:lvlText w:val="%1"/>
      <w:lvlJc w:val="left"/>
      <w:pPr>
        <w:ind w:left="284" w:hanging="284"/>
      </w:pPr>
      <w:rPr>
        <w:rFonts w:hint="default"/>
      </w:rPr>
    </w:lvl>
    <w:lvl w:ilvl="1">
      <w:start w:val="1"/>
      <w:numFmt w:val="decimal"/>
      <w:pStyle w:val="Overskrift2"/>
      <w:lvlText w:val="%1.%2"/>
      <w:lvlJc w:val="left"/>
      <w:pPr>
        <w:ind w:left="454" w:hanging="454"/>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 w15:restartNumberingAfterBreak="0">
    <w:nsid w:val="3F567858"/>
    <w:multiLevelType w:val="hybridMultilevel"/>
    <w:tmpl w:val="74902A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9190449"/>
    <w:multiLevelType w:val="hybridMultilevel"/>
    <w:tmpl w:val="3032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56CCE"/>
    <w:multiLevelType w:val="hybridMultilevel"/>
    <w:tmpl w:val="B08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22807"/>
    <w:multiLevelType w:val="hybridMultilevel"/>
    <w:tmpl w:val="8744A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DE07D3A"/>
    <w:multiLevelType w:val="hybridMultilevel"/>
    <w:tmpl w:val="FC889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A53655"/>
    <w:multiLevelType w:val="hybridMultilevel"/>
    <w:tmpl w:val="3BB04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7"/>
  </w:num>
  <w:num w:numId="6">
    <w:abstractNumId w:val="4"/>
  </w:num>
  <w:num w:numId="7">
    <w:abstractNumId w:val="3"/>
  </w:num>
  <w:num w:numId="8">
    <w:abstractNumId w:val="0"/>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4C"/>
    <w:rsid w:val="00001A91"/>
    <w:rsid w:val="0004478B"/>
    <w:rsid w:val="000823E8"/>
    <w:rsid w:val="000A0584"/>
    <w:rsid w:val="000F13FB"/>
    <w:rsid w:val="00103D41"/>
    <w:rsid w:val="00140B77"/>
    <w:rsid w:val="00181F40"/>
    <w:rsid w:val="00196BDB"/>
    <w:rsid w:val="001C2309"/>
    <w:rsid w:val="001F537F"/>
    <w:rsid w:val="00216F64"/>
    <w:rsid w:val="00227D02"/>
    <w:rsid w:val="00235896"/>
    <w:rsid w:val="0026619C"/>
    <w:rsid w:val="0026790C"/>
    <w:rsid w:val="00295429"/>
    <w:rsid w:val="002A5085"/>
    <w:rsid w:val="002E783C"/>
    <w:rsid w:val="00306DFC"/>
    <w:rsid w:val="003D6AD7"/>
    <w:rsid w:val="004205AA"/>
    <w:rsid w:val="00476B28"/>
    <w:rsid w:val="004C711C"/>
    <w:rsid w:val="004E42EF"/>
    <w:rsid w:val="005211D4"/>
    <w:rsid w:val="0053120E"/>
    <w:rsid w:val="00560BC4"/>
    <w:rsid w:val="0057232F"/>
    <w:rsid w:val="00587354"/>
    <w:rsid w:val="00591FD5"/>
    <w:rsid w:val="00593C7C"/>
    <w:rsid w:val="0059621B"/>
    <w:rsid w:val="005C0636"/>
    <w:rsid w:val="006268B2"/>
    <w:rsid w:val="00673010"/>
    <w:rsid w:val="006D4E28"/>
    <w:rsid w:val="007238A9"/>
    <w:rsid w:val="00746442"/>
    <w:rsid w:val="00776642"/>
    <w:rsid w:val="007836EA"/>
    <w:rsid w:val="007937C1"/>
    <w:rsid w:val="007A7521"/>
    <w:rsid w:val="007C4674"/>
    <w:rsid w:val="007C72DD"/>
    <w:rsid w:val="007E726A"/>
    <w:rsid w:val="0081159F"/>
    <w:rsid w:val="00824FB9"/>
    <w:rsid w:val="00845858"/>
    <w:rsid w:val="009106FE"/>
    <w:rsid w:val="009740F2"/>
    <w:rsid w:val="00976C69"/>
    <w:rsid w:val="00977B72"/>
    <w:rsid w:val="009B1E2A"/>
    <w:rsid w:val="00A215A9"/>
    <w:rsid w:val="00A57075"/>
    <w:rsid w:val="00A71F27"/>
    <w:rsid w:val="00AC67C8"/>
    <w:rsid w:val="00AF2504"/>
    <w:rsid w:val="00B20A0A"/>
    <w:rsid w:val="00B36F1D"/>
    <w:rsid w:val="00B376EA"/>
    <w:rsid w:val="00BD6F83"/>
    <w:rsid w:val="00BF06A3"/>
    <w:rsid w:val="00C33D2A"/>
    <w:rsid w:val="00C75A48"/>
    <w:rsid w:val="00C76C08"/>
    <w:rsid w:val="00C918F4"/>
    <w:rsid w:val="00C92977"/>
    <w:rsid w:val="00CD35C4"/>
    <w:rsid w:val="00CE2A6C"/>
    <w:rsid w:val="00CF67ED"/>
    <w:rsid w:val="00D10539"/>
    <w:rsid w:val="00D97E02"/>
    <w:rsid w:val="00DD5883"/>
    <w:rsid w:val="00DF2A9E"/>
    <w:rsid w:val="00DF7C2F"/>
    <w:rsid w:val="00E32FC1"/>
    <w:rsid w:val="00E532FD"/>
    <w:rsid w:val="00E7044C"/>
    <w:rsid w:val="00E778FD"/>
    <w:rsid w:val="00E8594C"/>
    <w:rsid w:val="00E96592"/>
    <w:rsid w:val="00EA7D26"/>
    <w:rsid w:val="00EC4E97"/>
    <w:rsid w:val="00EE501A"/>
    <w:rsid w:val="00EF1352"/>
    <w:rsid w:val="00EF6294"/>
    <w:rsid w:val="00F41072"/>
    <w:rsid w:val="00F52796"/>
    <w:rsid w:val="00FB1A51"/>
    <w:rsid w:val="00FB57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46D0A"/>
  <w15:docId w15:val="{2EB9F695-19B4-44ED-BA78-CF119A4E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4674"/>
    <w:pPr>
      <w:spacing w:after="0" w:line="240" w:lineRule="auto"/>
    </w:pPr>
    <w:rPr>
      <w:sz w:val="20"/>
    </w:rPr>
  </w:style>
  <w:style w:type="paragraph" w:styleId="Overskrift1">
    <w:name w:val="heading 1"/>
    <w:basedOn w:val="Normal"/>
    <w:next w:val="Brdtekst"/>
    <w:link w:val="Overskrift1Tegn"/>
    <w:uiPriority w:val="9"/>
    <w:qFormat/>
    <w:rsid w:val="00D10539"/>
    <w:pPr>
      <w:keepNext/>
      <w:keepLines/>
      <w:numPr>
        <w:numId w:val="4"/>
      </w:numPr>
      <w:spacing w:before="520" w:after="200"/>
      <w:outlineLvl w:val="0"/>
    </w:pPr>
    <w:rPr>
      <w:rFonts w:asciiTheme="majorHAnsi" w:eastAsiaTheme="majorEastAsia" w:hAnsiTheme="majorHAnsi" w:cstheme="majorBidi"/>
      <w:bCs/>
      <w:caps/>
      <w:sz w:val="28"/>
      <w:szCs w:val="28"/>
    </w:rPr>
  </w:style>
  <w:style w:type="paragraph" w:styleId="Overskrift2">
    <w:name w:val="heading 2"/>
    <w:basedOn w:val="Normal"/>
    <w:next w:val="Brdtekst"/>
    <w:link w:val="Overskrift2Tegn"/>
    <w:uiPriority w:val="9"/>
    <w:unhideWhenUsed/>
    <w:qFormat/>
    <w:rsid w:val="0004478B"/>
    <w:pPr>
      <w:keepNext/>
      <w:keepLines/>
      <w:numPr>
        <w:ilvl w:val="1"/>
        <w:numId w:val="4"/>
      </w:numPr>
      <w:spacing w:before="240" w:after="200"/>
      <w:outlineLvl w:val="1"/>
    </w:pPr>
    <w:rPr>
      <w:rFonts w:asciiTheme="majorHAnsi" w:eastAsiaTheme="majorEastAsia" w:hAnsiTheme="majorHAnsi" w:cstheme="majorBidi"/>
      <w:bCs/>
      <w:sz w:val="28"/>
      <w:szCs w:val="26"/>
    </w:rPr>
  </w:style>
  <w:style w:type="paragraph" w:styleId="Overskrift3">
    <w:name w:val="heading 3"/>
    <w:basedOn w:val="Normal"/>
    <w:next w:val="Normal"/>
    <w:link w:val="Overskrift3Tegn"/>
    <w:uiPriority w:val="9"/>
    <w:rsid w:val="007C4674"/>
    <w:pPr>
      <w:keepNext/>
      <w:keepLines/>
      <w:numPr>
        <w:ilvl w:val="2"/>
        <w:numId w:val="4"/>
      </w:numPr>
      <w:spacing w:before="240" w:after="200"/>
      <w:outlineLvl w:val="2"/>
    </w:pPr>
    <w:rPr>
      <w:rFonts w:asciiTheme="majorHAnsi" w:eastAsiaTheme="majorEastAsia" w:hAnsiTheme="majorHAnsi" w:cstheme="majorBidi"/>
      <w:bCs/>
      <w:sz w:val="28"/>
    </w:rPr>
  </w:style>
  <w:style w:type="paragraph" w:styleId="Overskrift4">
    <w:name w:val="heading 4"/>
    <w:basedOn w:val="Normal"/>
    <w:next w:val="Normal"/>
    <w:link w:val="Overskrift4Tegn"/>
    <w:uiPriority w:val="9"/>
    <w:qFormat/>
    <w:rsid w:val="007C4674"/>
    <w:pPr>
      <w:keepNext/>
      <w:keepLines/>
      <w:numPr>
        <w:ilvl w:val="3"/>
        <w:numId w:val="4"/>
      </w:numPr>
      <w:spacing w:before="240" w:after="200"/>
      <w:outlineLvl w:val="3"/>
    </w:pPr>
    <w:rPr>
      <w:rFonts w:asciiTheme="majorHAnsi" w:eastAsiaTheme="majorEastAsia" w:hAnsiTheme="majorHAnsi" w:cstheme="majorBidi"/>
      <w:bCs/>
      <w:iCs/>
      <w:sz w:val="28"/>
    </w:rPr>
  </w:style>
  <w:style w:type="paragraph" w:styleId="Overskrift5">
    <w:name w:val="heading 5"/>
    <w:basedOn w:val="Normal"/>
    <w:next w:val="Normal"/>
    <w:link w:val="Overskrift5Tegn"/>
    <w:uiPriority w:val="9"/>
    <w:qFormat/>
    <w:rsid w:val="007C4674"/>
    <w:pPr>
      <w:keepNext/>
      <w:keepLines/>
      <w:numPr>
        <w:ilvl w:val="4"/>
        <w:numId w:val="4"/>
      </w:numPr>
      <w:spacing w:before="240" w:after="200"/>
      <w:outlineLvl w:val="4"/>
    </w:pPr>
    <w:rPr>
      <w:rFonts w:asciiTheme="majorHAnsi" w:eastAsiaTheme="majorEastAsia" w:hAnsiTheme="majorHAnsi" w:cstheme="majorBidi"/>
      <w:sz w:val="28"/>
    </w:rPr>
  </w:style>
  <w:style w:type="paragraph" w:styleId="Overskrift6">
    <w:name w:val="heading 6"/>
    <w:basedOn w:val="Normal"/>
    <w:next w:val="Normal"/>
    <w:link w:val="Overskrift6Tegn"/>
    <w:uiPriority w:val="9"/>
    <w:semiHidden/>
    <w:qFormat/>
    <w:rsid w:val="00AC67C8"/>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C67C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C67C8"/>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AC67C8"/>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746442"/>
    <w:rPr>
      <w:sz w:val="20"/>
    </w:rPr>
  </w:style>
  <w:style w:type="paragraph" w:styleId="Brdtekst">
    <w:name w:val="Body Text"/>
    <w:basedOn w:val="Normal"/>
    <w:link w:val="BrdtekstTegn"/>
    <w:uiPriority w:val="99"/>
    <w:qFormat/>
    <w:rsid w:val="007C4674"/>
    <w:rPr>
      <w:sz w:val="24"/>
    </w:rPr>
  </w:style>
  <w:style w:type="character" w:customStyle="1" w:styleId="BrdtekstTegn">
    <w:name w:val="Brødtekst Tegn"/>
    <w:basedOn w:val="Standardskriftforavsnitt"/>
    <w:link w:val="Brdtekst"/>
    <w:uiPriority w:val="99"/>
    <w:rsid w:val="007C4674"/>
    <w:rPr>
      <w:sz w:val="24"/>
    </w:rPr>
  </w:style>
  <w:style w:type="paragraph" w:styleId="Tittel">
    <w:name w:val="Title"/>
    <w:basedOn w:val="Normal"/>
    <w:link w:val="TittelTegn"/>
    <w:uiPriority w:val="10"/>
    <w:qFormat/>
    <w:rsid w:val="005211D4"/>
    <w:pPr>
      <w:contextualSpacing/>
    </w:pPr>
    <w:rPr>
      <w:rFonts w:asciiTheme="majorHAnsi" w:eastAsiaTheme="majorEastAsia" w:hAnsiTheme="majorHAnsi" w:cstheme="majorBidi"/>
      <w:spacing w:val="5"/>
      <w:kern w:val="28"/>
      <w:sz w:val="88"/>
      <w:szCs w:val="52"/>
    </w:rPr>
  </w:style>
  <w:style w:type="character" w:customStyle="1" w:styleId="TittelTegn">
    <w:name w:val="Tittel Tegn"/>
    <w:basedOn w:val="Standardskriftforavsnitt"/>
    <w:link w:val="Tittel"/>
    <w:uiPriority w:val="10"/>
    <w:rsid w:val="005211D4"/>
    <w:rPr>
      <w:rFonts w:asciiTheme="majorHAnsi" w:eastAsiaTheme="majorEastAsia" w:hAnsiTheme="majorHAnsi" w:cstheme="majorBidi"/>
      <w:spacing w:val="5"/>
      <w:kern w:val="28"/>
      <w:sz w:val="88"/>
      <w:szCs w:val="52"/>
    </w:rPr>
  </w:style>
  <w:style w:type="paragraph" w:styleId="Undertittel">
    <w:name w:val="Subtitle"/>
    <w:basedOn w:val="Normal"/>
    <w:next w:val="Normal"/>
    <w:link w:val="UndertittelTegn"/>
    <w:uiPriority w:val="11"/>
    <w:rsid w:val="002E783C"/>
    <w:pPr>
      <w:numPr>
        <w:ilvl w:val="1"/>
      </w:numPr>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rsid w:val="002E783C"/>
    <w:rPr>
      <w:rFonts w:asciiTheme="majorHAnsi" w:eastAsiaTheme="majorEastAsia" w:hAnsiTheme="majorHAnsi" w:cstheme="majorBidi"/>
      <w:i/>
      <w:iCs/>
      <w:spacing w:val="15"/>
      <w:sz w:val="24"/>
      <w:szCs w:val="24"/>
    </w:rPr>
  </w:style>
  <w:style w:type="character" w:customStyle="1" w:styleId="Overskrift1Tegn">
    <w:name w:val="Overskrift 1 Tegn"/>
    <w:basedOn w:val="Standardskriftforavsnitt"/>
    <w:link w:val="Overskrift1"/>
    <w:uiPriority w:val="9"/>
    <w:rsid w:val="00D10539"/>
    <w:rPr>
      <w:rFonts w:asciiTheme="majorHAnsi" w:eastAsiaTheme="majorEastAsia" w:hAnsiTheme="majorHAnsi" w:cstheme="majorBidi"/>
      <w:bCs/>
      <w:caps/>
      <w:sz w:val="28"/>
      <w:szCs w:val="28"/>
    </w:rPr>
  </w:style>
  <w:style w:type="character" w:customStyle="1" w:styleId="Overskrift2Tegn">
    <w:name w:val="Overskrift 2 Tegn"/>
    <w:basedOn w:val="Standardskriftforavsnitt"/>
    <w:link w:val="Overskrift2"/>
    <w:uiPriority w:val="9"/>
    <w:rsid w:val="0004478B"/>
    <w:rPr>
      <w:rFonts w:asciiTheme="majorHAnsi" w:eastAsiaTheme="majorEastAsia" w:hAnsiTheme="majorHAnsi" w:cstheme="majorBidi"/>
      <w:bCs/>
      <w:sz w:val="28"/>
      <w:szCs w:val="26"/>
    </w:rPr>
  </w:style>
  <w:style w:type="paragraph" w:styleId="Topptekst">
    <w:name w:val="header"/>
    <w:basedOn w:val="Normal"/>
    <w:link w:val="TopptekstTegn"/>
    <w:unhideWhenUsed/>
    <w:rsid w:val="006D4E28"/>
    <w:pPr>
      <w:tabs>
        <w:tab w:val="left" w:pos="1440"/>
        <w:tab w:val="left" w:pos="3703"/>
        <w:tab w:val="left" w:pos="5891"/>
        <w:tab w:val="right" w:pos="8789"/>
      </w:tabs>
    </w:pPr>
    <w:rPr>
      <w:color w:val="646464"/>
    </w:rPr>
  </w:style>
  <w:style w:type="character" w:customStyle="1" w:styleId="TopptekstTegn">
    <w:name w:val="Topptekst Tegn"/>
    <w:basedOn w:val="Standardskriftforavsnitt"/>
    <w:link w:val="Topptekst"/>
    <w:rsid w:val="006D4E28"/>
    <w:rPr>
      <w:color w:val="646464"/>
      <w:sz w:val="20"/>
    </w:rPr>
  </w:style>
  <w:style w:type="paragraph" w:styleId="Bunntekst">
    <w:name w:val="footer"/>
    <w:basedOn w:val="Normal"/>
    <w:link w:val="BunntekstTegn"/>
    <w:uiPriority w:val="99"/>
    <w:semiHidden/>
    <w:rsid w:val="00AC67C8"/>
    <w:pPr>
      <w:tabs>
        <w:tab w:val="center" w:pos="4536"/>
        <w:tab w:val="right" w:pos="9072"/>
      </w:tabs>
    </w:pPr>
  </w:style>
  <w:style w:type="character" w:customStyle="1" w:styleId="BunntekstTegn">
    <w:name w:val="Bunntekst Tegn"/>
    <w:basedOn w:val="Standardskriftforavsnitt"/>
    <w:link w:val="Bunntekst"/>
    <w:uiPriority w:val="99"/>
    <w:semiHidden/>
    <w:rsid w:val="00746442"/>
    <w:rPr>
      <w:sz w:val="20"/>
    </w:rPr>
  </w:style>
  <w:style w:type="character" w:customStyle="1" w:styleId="Overskrift3Tegn">
    <w:name w:val="Overskrift 3 Tegn"/>
    <w:basedOn w:val="Standardskriftforavsnitt"/>
    <w:link w:val="Overskrift3"/>
    <w:uiPriority w:val="9"/>
    <w:rsid w:val="007C4674"/>
    <w:rPr>
      <w:rFonts w:asciiTheme="majorHAnsi" w:eastAsiaTheme="majorEastAsia" w:hAnsiTheme="majorHAnsi" w:cstheme="majorBidi"/>
      <w:bCs/>
      <w:sz w:val="28"/>
    </w:rPr>
  </w:style>
  <w:style w:type="character" w:customStyle="1" w:styleId="Overskrift4Tegn">
    <w:name w:val="Overskrift 4 Tegn"/>
    <w:basedOn w:val="Standardskriftforavsnitt"/>
    <w:link w:val="Overskrift4"/>
    <w:uiPriority w:val="9"/>
    <w:rsid w:val="007C4674"/>
    <w:rPr>
      <w:rFonts w:asciiTheme="majorHAnsi" w:eastAsiaTheme="majorEastAsia" w:hAnsiTheme="majorHAnsi" w:cstheme="majorBidi"/>
      <w:bCs/>
      <w:iCs/>
      <w:sz w:val="28"/>
    </w:rPr>
  </w:style>
  <w:style w:type="character" w:customStyle="1" w:styleId="Overskrift5Tegn">
    <w:name w:val="Overskrift 5 Tegn"/>
    <w:basedOn w:val="Standardskriftforavsnitt"/>
    <w:link w:val="Overskrift5"/>
    <w:uiPriority w:val="9"/>
    <w:rsid w:val="007C4674"/>
    <w:rPr>
      <w:rFonts w:asciiTheme="majorHAnsi" w:eastAsiaTheme="majorEastAsia" w:hAnsiTheme="majorHAnsi" w:cstheme="majorBidi"/>
      <w:sz w:val="28"/>
    </w:rPr>
  </w:style>
  <w:style w:type="character" w:customStyle="1" w:styleId="Overskrift6Tegn">
    <w:name w:val="Overskrift 6 Tegn"/>
    <w:basedOn w:val="Standardskriftforavsnitt"/>
    <w:link w:val="Overskrift6"/>
    <w:uiPriority w:val="9"/>
    <w:semiHidden/>
    <w:rsid w:val="007C4674"/>
    <w:rPr>
      <w:rFonts w:asciiTheme="majorHAnsi" w:eastAsiaTheme="majorEastAsia" w:hAnsiTheme="majorHAnsi" w:cstheme="majorBidi"/>
      <w:i/>
      <w:iCs/>
      <w:color w:val="243F60" w:themeColor="accent1" w:themeShade="7F"/>
      <w:sz w:val="20"/>
    </w:rPr>
  </w:style>
  <w:style w:type="character" w:customStyle="1" w:styleId="Overskrift7Tegn">
    <w:name w:val="Overskrift 7 Tegn"/>
    <w:basedOn w:val="Standardskriftforavsnitt"/>
    <w:link w:val="Overskrift7"/>
    <w:uiPriority w:val="9"/>
    <w:semiHidden/>
    <w:rsid w:val="00AC67C8"/>
    <w:rPr>
      <w:rFonts w:asciiTheme="majorHAnsi" w:eastAsiaTheme="majorEastAsia" w:hAnsiTheme="majorHAnsi" w:cstheme="majorBidi"/>
      <w:i/>
      <w:iCs/>
      <w:color w:val="404040" w:themeColor="text1" w:themeTint="BF"/>
      <w:sz w:val="20"/>
    </w:rPr>
  </w:style>
  <w:style w:type="character" w:customStyle="1" w:styleId="Overskrift8Tegn">
    <w:name w:val="Overskrift 8 Tegn"/>
    <w:basedOn w:val="Standardskriftforavsnitt"/>
    <w:link w:val="Overskrift8"/>
    <w:uiPriority w:val="9"/>
    <w:semiHidden/>
    <w:rsid w:val="00AC67C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AC67C8"/>
    <w:rPr>
      <w:rFonts w:asciiTheme="majorHAnsi" w:eastAsiaTheme="majorEastAsia" w:hAnsiTheme="majorHAnsi" w:cstheme="majorBidi"/>
      <w:i/>
      <w:iCs/>
      <w:color w:val="404040" w:themeColor="text1" w:themeTint="BF"/>
      <w:sz w:val="20"/>
      <w:szCs w:val="20"/>
    </w:rPr>
  </w:style>
  <w:style w:type="paragraph" w:customStyle="1" w:styleId="UnrOverskrift1">
    <w:name w:val="Unr. Overskrift 1"/>
    <w:basedOn w:val="Overskrift1"/>
    <w:next w:val="Brdtekst"/>
    <w:qFormat/>
    <w:rsid w:val="00AC67C8"/>
    <w:pPr>
      <w:numPr>
        <w:numId w:val="0"/>
      </w:numPr>
    </w:pPr>
  </w:style>
  <w:style w:type="paragraph" w:customStyle="1" w:styleId="UnrOverskrift2">
    <w:name w:val="Unr. Overskrift 2"/>
    <w:basedOn w:val="Overskrift2"/>
    <w:next w:val="Brdtekst"/>
    <w:qFormat/>
    <w:rsid w:val="005211D4"/>
    <w:pPr>
      <w:numPr>
        <w:ilvl w:val="0"/>
        <w:numId w:val="0"/>
      </w:numPr>
    </w:pPr>
  </w:style>
  <w:style w:type="table" w:styleId="Tabellrutenett">
    <w:name w:val="Table Grid"/>
    <w:basedOn w:val="Vanligtabell"/>
    <w:uiPriority w:val="59"/>
    <w:rsid w:val="00521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F67ED"/>
    <w:rPr>
      <w:rFonts w:ascii="Tahoma" w:hAnsi="Tahoma" w:cs="Tahoma"/>
      <w:sz w:val="16"/>
      <w:szCs w:val="16"/>
    </w:rPr>
  </w:style>
  <w:style w:type="character" w:customStyle="1" w:styleId="BobletekstTegn">
    <w:name w:val="Bobletekst Tegn"/>
    <w:basedOn w:val="Standardskriftforavsnitt"/>
    <w:link w:val="Bobletekst"/>
    <w:uiPriority w:val="99"/>
    <w:semiHidden/>
    <w:rsid w:val="00CF67ED"/>
    <w:rPr>
      <w:rFonts w:ascii="Tahoma" w:hAnsi="Tahoma" w:cs="Tahoma"/>
      <w:sz w:val="16"/>
      <w:szCs w:val="16"/>
    </w:rPr>
  </w:style>
  <w:style w:type="character" w:styleId="Plassholdertekst">
    <w:name w:val="Placeholder Text"/>
    <w:basedOn w:val="Standardskriftforavsnitt"/>
    <w:uiPriority w:val="99"/>
    <w:semiHidden/>
    <w:rsid w:val="00CF67ED"/>
    <w:rPr>
      <w:color w:val="808080"/>
    </w:rPr>
  </w:style>
  <w:style w:type="paragraph" w:styleId="INNH1">
    <w:name w:val="toc 1"/>
    <w:basedOn w:val="Normal"/>
    <w:next w:val="Normal"/>
    <w:autoRedefine/>
    <w:uiPriority w:val="39"/>
    <w:unhideWhenUsed/>
    <w:rsid w:val="007C4674"/>
    <w:pPr>
      <w:tabs>
        <w:tab w:val="left" w:pos="284"/>
        <w:tab w:val="right" w:leader="dot" w:pos="8777"/>
      </w:tabs>
      <w:spacing w:before="120" w:after="100"/>
    </w:pPr>
    <w:rPr>
      <w:caps/>
      <w:sz w:val="28"/>
    </w:rPr>
  </w:style>
  <w:style w:type="paragraph" w:styleId="INNH2">
    <w:name w:val="toc 2"/>
    <w:basedOn w:val="Normal"/>
    <w:next w:val="Normal"/>
    <w:autoRedefine/>
    <w:uiPriority w:val="39"/>
    <w:unhideWhenUsed/>
    <w:rsid w:val="004205AA"/>
    <w:pPr>
      <w:tabs>
        <w:tab w:val="left" w:pos="1021"/>
        <w:tab w:val="right" w:leader="dot" w:pos="8778"/>
      </w:tabs>
      <w:ind w:left="680"/>
    </w:pPr>
    <w:rPr>
      <w:sz w:val="24"/>
    </w:rPr>
  </w:style>
  <w:style w:type="character" w:styleId="Hyperkobling">
    <w:name w:val="Hyperlink"/>
    <w:basedOn w:val="Standardskriftforavsnitt"/>
    <w:uiPriority w:val="99"/>
    <w:unhideWhenUsed/>
    <w:rsid w:val="00E96592"/>
    <w:rPr>
      <w:color w:val="0000FF" w:themeColor="hyperlink"/>
      <w:u w:val="single"/>
    </w:rPr>
  </w:style>
  <w:style w:type="paragraph" w:styleId="INNH3">
    <w:name w:val="toc 3"/>
    <w:basedOn w:val="Normal"/>
    <w:next w:val="Normal"/>
    <w:autoRedefine/>
    <w:uiPriority w:val="39"/>
    <w:rsid w:val="004205AA"/>
    <w:pPr>
      <w:tabs>
        <w:tab w:val="left" w:pos="1219"/>
        <w:tab w:val="right" w:leader="dot" w:pos="8778"/>
      </w:tabs>
      <w:ind w:left="680"/>
    </w:pPr>
    <w:rPr>
      <w:sz w:val="24"/>
    </w:rPr>
  </w:style>
  <w:style w:type="paragraph" w:styleId="INNH4">
    <w:name w:val="toc 4"/>
    <w:basedOn w:val="Normal"/>
    <w:next w:val="Normal"/>
    <w:autoRedefine/>
    <w:uiPriority w:val="39"/>
    <w:rsid w:val="004205AA"/>
    <w:pPr>
      <w:tabs>
        <w:tab w:val="left" w:pos="1361"/>
        <w:tab w:val="right" w:leader="dot" w:pos="8778"/>
      </w:tabs>
      <w:ind w:left="680"/>
    </w:pPr>
    <w:rPr>
      <w:sz w:val="24"/>
    </w:rPr>
  </w:style>
  <w:style w:type="paragraph" w:styleId="INNH5">
    <w:name w:val="toc 5"/>
    <w:basedOn w:val="Normal"/>
    <w:next w:val="Normal"/>
    <w:autoRedefine/>
    <w:uiPriority w:val="39"/>
    <w:rsid w:val="004205AA"/>
    <w:pPr>
      <w:tabs>
        <w:tab w:val="left" w:pos="1531"/>
        <w:tab w:val="right" w:leader="dot" w:pos="8778"/>
      </w:tabs>
      <w:ind w:left="680"/>
    </w:pPr>
    <w:rPr>
      <w:sz w:val="24"/>
    </w:rPr>
  </w:style>
  <w:style w:type="paragraph" w:customStyle="1" w:styleId="Stiltopptekst">
    <w:name w:val="Stil topptekst"/>
    <w:basedOn w:val="Topptekst"/>
    <w:link w:val="StiltopptekstTegn"/>
    <w:qFormat/>
    <w:rsid w:val="00EF1352"/>
    <w:pPr>
      <w:jc w:val="center"/>
    </w:pPr>
  </w:style>
  <w:style w:type="character" w:customStyle="1" w:styleId="StiltopptekstTegn">
    <w:name w:val="Stil topptekst Tegn"/>
    <w:basedOn w:val="TopptekstTegn"/>
    <w:link w:val="Stiltopptekst"/>
    <w:rsid w:val="00EF1352"/>
    <w:rPr>
      <w:color w:val="646464"/>
      <w:sz w:val="20"/>
    </w:rPr>
  </w:style>
  <w:style w:type="paragraph" w:styleId="Fotnotetekst">
    <w:name w:val="footnote text"/>
    <w:basedOn w:val="Normal"/>
    <w:link w:val="FotnotetekstTegn"/>
    <w:uiPriority w:val="99"/>
    <w:semiHidden/>
    <w:unhideWhenUsed/>
    <w:rsid w:val="00B376EA"/>
    <w:rPr>
      <w:szCs w:val="20"/>
      <w:lang w:val="en-GB"/>
    </w:rPr>
  </w:style>
  <w:style w:type="character" w:customStyle="1" w:styleId="FotnotetekstTegn">
    <w:name w:val="Fotnotetekst Tegn"/>
    <w:basedOn w:val="Standardskriftforavsnitt"/>
    <w:link w:val="Fotnotetekst"/>
    <w:uiPriority w:val="99"/>
    <w:semiHidden/>
    <w:rsid w:val="00B376EA"/>
    <w:rPr>
      <w:sz w:val="20"/>
      <w:szCs w:val="20"/>
      <w:lang w:val="en-GB"/>
    </w:rPr>
  </w:style>
  <w:style w:type="character" w:styleId="Merknadsreferanse">
    <w:name w:val="annotation reference"/>
    <w:basedOn w:val="Standardskriftforavsnitt"/>
    <w:uiPriority w:val="99"/>
    <w:semiHidden/>
    <w:unhideWhenUsed/>
    <w:rsid w:val="00476B28"/>
    <w:rPr>
      <w:sz w:val="16"/>
      <w:szCs w:val="16"/>
    </w:rPr>
  </w:style>
  <w:style w:type="paragraph" w:styleId="Merknadstekst">
    <w:name w:val="annotation text"/>
    <w:basedOn w:val="Normal"/>
    <w:link w:val="MerknadstekstTegn"/>
    <w:uiPriority w:val="99"/>
    <w:semiHidden/>
    <w:unhideWhenUsed/>
    <w:rsid w:val="00476B28"/>
    <w:rPr>
      <w:szCs w:val="20"/>
    </w:rPr>
  </w:style>
  <w:style w:type="character" w:customStyle="1" w:styleId="MerknadstekstTegn">
    <w:name w:val="Merknadstekst Tegn"/>
    <w:basedOn w:val="Standardskriftforavsnitt"/>
    <w:link w:val="Merknadstekst"/>
    <w:uiPriority w:val="99"/>
    <w:semiHidden/>
    <w:rsid w:val="00476B28"/>
    <w:rPr>
      <w:sz w:val="20"/>
      <w:szCs w:val="20"/>
    </w:rPr>
  </w:style>
  <w:style w:type="paragraph" w:styleId="Kommentaremne">
    <w:name w:val="annotation subject"/>
    <w:basedOn w:val="Merknadstekst"/>
    <w:next w:val="Merknadstekst"/>
    <w:link w:val="KommentaremneTegn"/>
    <w:uiPriority w:val="99"/>
    <w:semiHidden/>
    <w:unhideWhenUsed/>
    <w:rsid w:val="00476B28"/>
    <w:rPr>
      <w:b/>
      <w:bCs/>
    </w:rPr>
  </w:style>
  <w:style w:type="character" w:customStyle="1" w:styleId="KommentaremneTegn">
    <w:name w:val="Kommentaremne Tegn"/>
    <w:basedOn w:val="MerknadstekstTegn"/>
    <w:link w:val="Kommentaremne"/>
    <w:uiPriority w:val="99"/>
    <w:semiHidden/>
    <w:rsid w:val="00476B28"/>
    <w:rPr>
      <w:b/>
      <w:bCs/>
      <w:sz w:val="20"/>
      <w:szCs w:val="20"/>
    </w:rPr>
  </w:style>
  <w:style w:type="paragraph" w:styleId="Listeavsnitt">
    <w:name w:val="List Paragraph"/>
    <w:basedOn w:val="Normal"/>
    <w:uiPriority w:val="34"/>
    <w:qFormat/>
    <w:rsid w:val="0053120E"/>
    <w:pPr>
      <w:ind w:left="720"/>
      <w:contextualSpacing/>
    </w:pPr>
  </w:style>
  <w:style w:type="character" w:styleId="Fotnotereferanse">
    <w:name w:val="footnote reference"/>
    <w:basedOn w:val="Standardskriftforavsnitt"/>
    <w:uiPriority w:val="99"/>
    <w:semiHidden/>
    <w:unhideWhenUsed/>
    <w:rsid w:val="0053120E"/>
    <w:rPr>
      <w:vertAlign w:val="superscript"/>
    </w:rPr>
  </w:style>
  <w:style w:type="character" w:styleId="Sidetall">
    <w:name w:val="page number"/>
    <w:basedOn w:val="Standardskriftforavsnitt"/>
    <w:rsid w:val="00C7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orskoljeoggass.no"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firmapost@norog.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FEDA470008452B871CE4A61021C752"/>
        <w:category>
          <w:name w:val="Generelt"/>
          <w:gallery w:val="placeholder"/>
        </w:category>
        <w:types>
          <w:type w:val="bbPlcHdr"/>
        </w:types>
        <w:behaviors>
          <w:behavior w:val="content"/>
        </w:behaviors>
        <w:guid w:val="{D79D2507-BC5B-411D-818D-03D4143F26EA}"/>
      </w:docPartPr>
      <w:docPartBody>
        <w:p w:rsidR="00650485" w:rsidRDefault="00BA0111">
          <w:pPr>
            <w:pStyle w:val="05FEDA470008452B871CE4A61021C752"/>
          </w:pPr>
          <w:r w:rsidRPr="00DF2A9E">
            <w:rPr>
              <w:lang w:val="nn-NO"/>
            </w:rPr>
            <w:t>[Klikk her og skriv inn]</w:t>
          </w:r>
        </w:p>
      </w:docPartBody>
    </w:docPart>
    <w:docPart>
      <w:docPartPr>
        <w:name w:val="03CDAA412CA5405EA48B3720D769620D"/>
        <w:category>
          <w:name w:val="Generelt"/>
          <w:gallery w:val="placeholder"/>
        </w:category>
        <w:types>
          <w:type w:val="bbPlcHdr"/>
        </w:types>
        <w:behaviors>
          <w:behavior w:val="content"/>
        </w:behaviors>
        <w:guid w:val="{DFCD711B-88A4-4426-A4C2-026590F09D60}"/>
      </w:docPartPr>
      <w:docPartBody>
        <w:p w:rsidR="00DF77D9" w:rsidRDefault="00D54458" w:rsidP="00D54458">
          <w:pPr>
            <w:pStyle w:val="03CDAA412CA5405EA48B3720D769620D"/>
          </w:pPr>
          <w:r>
            <w:t>XX</w:t>
          </w:r>
        </w:p>
      </w:docPartBody>
    </w:docPart>
    <w:docPart>
      <w:docPartPr>
        <w:name w:val="B4CFDE08159B40D1A2692460F858CF3A"/>
        <w:category>
          <w:name w:val="Generelt"/>
          <w:gallery w:val="placeholder"/>
        </w:category>
        <w:types>
          <w:type w:val="bbPlcHdr"/>
        </w:types>
        <w:behaviors>
          <w:behavior w:val="content"/>
        </w:behaviors>
        <w:guid w:val="{D157E60F-6E5F-46BB-BE98-60FB24A8FFC1}"/>
      </w:docPartPr>
      <w:docPartBody>
        <w:p w:rsidR="00DF77D9" w:rsidRDefault="00D54458" w:rsidP="00D54458">
          <w:pPr>
            <w:pStyle w:val="B4CFDE08159B40D1A2692460F858CF3A"/>
          </w:pPr>
          <w:r>
            <w:rPr>
              <w:lang w:val="nn-NO"/>
            </w:rPr>
            <w:t>[Legg inn tema]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11"/>
    <w:rsid w:val="00153DB7"/>
    <w:rsid w:val="00212B35"/>
    <w:rsid w:val="002E6AC5"/>
    <w:rsid w:val="00373A0E"/>
    <w:rsid w:val="005A0C23"/>
    <w:rsid w:val="00650485"/>
    <w:rsid w:val="00BA0111"/>
    <w:rsid w:val="00BD1838"/>
    <w:rsid w:val="00D54458"/>
    <w:rsid w:val="00DE2159"/>
    <w:rsid w:val="00DF77D9"/>
    <w:rsid w:val="00F906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3139B7FEB7C54CCE91BB25AC3F4C867C">
    <w:name w:val="3139B7FEB7C54CCE91BB25AC3F4C867C"/>
  </w:style>
  <w:style w:type="paragraph" w:customStyle="1" w:styleId="BCDDB27D2E424FDBAB40E67E23A2B94B">
    <w:name w:val="BCDDB27D2E424FDBAB40E67E23A2B94B"/>
  </w:style>
  <w:style w:type="paragraph" w:customStyle="1" w:styleId="6D7A59AD7D2A458F87C6E89889103D31">
    <w:name w:val="6D7A59AD7D2A458F87C6E89889103D31"/>
  </w:style>
  <w:style w:type="paragraph" w:customStyle="1" w:styleId="53E4B2E84CD04F4B9D957D77B63796FA">
    <w:name w:val="53E4B2E84CD04F4B9D957D77B63796FA"/>
  </w:style>
  <w:style w:type="paragraph" w:customStyle="1" w:styleId="A27B21855D90480BA35072D5DD2B21E7">
    <w:name w:val="A27B21855D90480BA35072D5DD2B21E7"/>
  </w:style>
  <w:style w:type="paragraph" w:customStyle="1" w:styleId="B13A4313F6144BE69B1D15401E213E94">
    <w:name w:val="B13A4313F6144BE69B1D15401E213E94"/>
  </w:style>
  <w:style w:type="paragraph" w:customStyle="1" w:styleId="1947B123B27B4A5381AB5A1FBEB5972F">
    <w:name w:val="1947B123B27B4A5381AB5A1FBEB5972F"/>
  </w:style>
  <w:style w:type="paragraph" w:customStyle="1" w:styleId="05FEDA470008452B871CE4A61021C752">
    <w:name w:val="05FEDA470008452B871CE4A61021C752"/>
  </w:style>
  <w:style w:type="paragraph" w:customStyle="1" w:styleId="18A1B6007A4B405EA65A5B6FF6ACEAEB">
    <w:name w:val="18A1B6007A4B405EA65A5B6FF6ACEAEB"/>
  </w:style>
  <w:style w:type="paragraph" w:customStyle="1" w:styleId="39C792CE283C4CD4AA2FA7D8E51D3AB4">
    <w:name w:val="39C792CE283C4CD4AA2FA7D8E51D3AB4"/>
  </w:style>
  <w:style w:type="paragraph" w:customStyle="1" w:styleId="9B1E3BC6AC614C3DAA54695CD9DCFD2A">
    <w:name w:val="9B1E3BC6AC614C3DAA54695CD9DCFD2A"/>
  </w:style>
  <w:style w:type="paragraph" w:customStyle="1" w:styleId="F95B2EB7FD694E3F99D42C0132CCC1DB">
    <w:name w:val="F95B2EB7FD694E3F99D42C0132CCC1DB"/>
  </w:style>
  <w:style w:type="paragraph" w:customStyle="1" w:styleId="434D347DF71944E5A5245E35563E7053">
    <w:name w:val="434D347DF71944E5A5245E35563E7053"/>
  </w:style>
  <w:style w:type="paragraph" w:customStyle="1" w:styleId="D742EF2164104A75BDEFADE163130E96">
    <w:name w:val="D742EF2164104A75BDEFADE163130E96"/>
  </w:style>
  <w:style w:type="paragraph" w:customStyle="1" w:styleId="4EF509E42F0A4C9B9679D9B51EB816F6">
    <w:name w:val="4EF509E42F0A4C9B9679D9B51EB816F6"/>
  </w:style>
  <w:style w:type="paragraph" w:customStyle="1" w:styleId="B87C2242D8C94C8BB031E6DDAE0E67E7">
    <w:name w:val="B87C2242D8C94C8BB031E6DDAE0E67E7"/>
    <w:rsid w:val="00212B35"/>
    <w:pPr>
      <w:spacing w:after="160" w:line="259" w:lineRule="auto"/>
    </w:pPr>
  </w:style>
  <w:style w:type="paragraph" w:customStyle="1" w:styleId="A51E97A93BCD4859BCDB3C653954E2D2">
    <w:name w:val="A51E97A93BCD4859BCDB3C653954E2D2"/>
    <w:rsid w:val="00212B35"/>
    <w:pPr>
      <w:spacing w:after="160" w:line="259" w:lineRule="auto"/>
    </w:pPr>
  </w:style>
  <w:style w:type="paragraph" w:customStyle="1" w:styleId="73B747700A6546AFAE5DD73AAC9506A6">
    <w:name w:val="73B747700A6546AFAE5DD73AAC9506A6"/>
    <w:rsid w:val="00212B35"/>
    <w:pPr>
      <w:spacing w:after="160" w:line="259" w:lineRule="auto"/>
    </w:pPr>
  </w:style>
  <w:style w:type="paragraph" w:customStyle="1" w:styleId="843D71547CFB4CF68D1F6E2AA9CC7708">
    <w:name w:val="843D71547CFB4CF68D1F6E2AA9CC7708"/>
    <w:rsid w:val="00212B35"/>
    <w:pPr>
      <w:spacing w:after="160" w:line="259" w:lineRule="auto"/>
    </w:pPr>
  </w:style>
  <w:style w:type="paragraph" w:customStyle="1" w:styleId="2C71B34CAAFE4E00AA2E5C05ADAE709A">
    <w:name w:val="2C71B34CAAFE4E00AA2E5C05ADAE709A"/>
    <w:rsid w:val="00212B35"/>
    <w:pPr>
      <w:spacing w:after="160" w:line="259" w:lineRule="auto"/>
    </w:pPr>
  </w:style>
  <w:style w:type="paragraph" w:customStyle="1" w:styleId="1CD91098F5DF4850867D12529E9142AA">
    <w:name w:val="1CD91098F5DF4850867D12529E9142AA"/>
    <w:rsid w:val="00D54458"/>
    <w:pPr>
      <w:spacing w:after="160" w:line="259" w:lineRule="auto"/>
    </w:pPr>
  </w:style>
  <w:style w:type="paragraph" w:customStyle="1" w:styleId="03CDAA412CA5405EA48B3720D769620D">
    <w:name w:val="03CDAA412CA5405EA48B3720D769620D"/>
    <w:rsid w:val="00D54458"/>
    <w:pPr>
      <w:spacing w:after="160" w:line="259" w:lineRule="auto"/>
    </w:pPr>
  </w:style>
  <w:style w:type="paragraph" w:customStyle="1" w:styleId="B4CFDE08159B40D1A2692460F858CF3A">
    <w:name w:val="B4CFDE08159B40D1A2692460F858CF3A"/>
    <w:rsid w:val="00D544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sk olje &amp; gass - system">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Kristin Sommer</TermName>
          <TermId xmlns="http://schemas.microsoft.com/office/infopath/2007/PartnerControls">52ae6294-c119-4fe6-9a55-6a73bace0d73</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2991</Value>
    </TaxCatchAll>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crms_nhonr xmlns="1fcd92dd-7d74-4918-8c11-98baf3d8368d" xsi:nil="true"/>
    <_dlc_DocId xmlns="1fcd92dd-7d74-4918-8c11-98baf3d8368d">ARENA-608-18534</_dlc_DocId>
    <_dlc_DocIdUrl xmlns="1fcd92dd-7d74-4918-8c11-98baf3d8368d">
      <Url>https://arenarom.nho.no/rom/norog/_layouts/DocIdRedir.aspx?ID=ARENA-608-18534</Url>
      <Description>ARENA-608-18534</Description>
    </_dlc_DocIdUrl>
  </documentManagement>
</p:properties>
</file>

<file path=customXml/item3.xml><?xml version="1.0" encoding="utf-8"?>
<root>
  <tema>AMI for bruk på Norsk sokkel </tema>
  <nr>06</nr>
  <revNr/>
  <revDato/>
  <etablert>2013-11-21T00:00:00</etablert>
</root>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23DCE3C188C0AA4BBFEF1E8D375762C9" ma:contentTypeVersion="61" ma:contentTypeDescription="Opprett et nytt dokument." ma:contentTypeScope="" ma:versionID="57179ec339bb1301db8362be408a2fb0">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780B40E-B068-41A6-A413-95250087BEAA}"/>
</file>

<file path=customXml/itemProps2.xml><?xml version="1.0" encoding="utf-8"?>
<ds:datastoreItem xmlns:ds="http://schemas.openxmlformats.org/officeDocument/2006/customXml" ds:itemID="{A59CDB6C-B60C-4112-825C-B4667AAEEFBA}"/>
</file>

<file path=customXml/itemProps3.xml><?xml version="1.0" encoding="utf-8"?>
<ds:datastoreItem xmlns:ds="http://schemas.openxmlformats.org/officeDocument/2006/customXml" ds:itemID="{1A469D93-8216-4857-8946-1507A3E0D925}"/>
</file>

<file path=customXml/itemProps4.xml><?xml version="1.0" encoding="utf-8"?>
<ds:datastoreItem xmlns:ds="http://schemas.openxmlformats.org/officeDocument/2006/customXml" ds:itemID="{1D1AC65B-33E2-4AB6-9E01-F7AB67653B7C}"/>
</file>

<file path=customXml/itemProps5.xml><?xml version="1.0" encoding="utf-8"?>
<ds:datastoreItem xmlns:ds="http://schemas.openxmlformats.org/officeDocument/2006/customXml" ds:itemID="{A21B8017-6BC9-4071-950A-E2C6BCC2D49B}"/>
</file>

<file path=customXml/itemProps6.xml><?xml version="1.0" encoding="utf-8"?>
<ds:datastoreItem xmlns:ds="http://schemas.openxmlformats.org/officeDocument/2006/customXml" ds:itemID="{57F70DAF-9AAB-421D-B9A2-5FBB4B7A348A}"/>
</file>

<file path=customXml/itemProps7.xml><?xml version="1.0" encoding="utf-8"?>
<ds:datastoreItem xmlns:ds="http://schemas.openxmlformats.org/officeDocument/2006/customXml" ds:itemID="{CBC538D9-0B8F-4B02-917C-36A2ABC46C8C}"/>
</file>

<file path=docProps/app.xml><?xml version="1.0" encoding="utf-8"?>
<Properties xmlns="http://schemas.openxmlformats.org/officeDocument/2006/extended-properties" xmlns:vt="http://schemas.openxmlformats.org/officeDocument/2006/docPropsVTypes">
  <Template>Normal</Template>
  <TotalTime>57</TotalTime>
  <Pages>7</Pages>
  <Words>1943</Words>
  <Characters>10301</Characters>
  <Application>Microsoft Office Word</Application>
  <DocSecurity>0</DocSecurity>
  <Lines>85</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Norsk olje &amp; gass</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Kojedal Bjørkedal</dc:creator>
  <dc:description>Template by addpoint.no</dc:description>
  <cp:lastModifiedBy>Bitten Lunde</cp:lastModifiedBy>
  <cp:revision>12</cp:revision>
  <cp:lastPrinted>2016-06-06T08:05:00Z</cp:lastPrinted>
  <dcterms:created xsi:type="dcterms:W3CDTF">2016-05-25T07:17:00Z</dcterms:created>
  <dcterms:modified xsi:type="dcterms:W3CDTF">2016-06-07T12:12:00Z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0x0101002703D2AF657F4CC69F3B5766777647D700D06115F784074B5E809F7B2D63EA2F2B007CC8D3DE76A54263AD44A5AABF561F5E0023DCE3C188C0AA4BBFEF1E8D375762C9</vt:lpwstr>
  </property>
  <property fmtid="{D5CDD505-2E9C-101B-9397-08002B2CF9AE}" pid="4" name="TaxKeyword">
    <vt:lpwstr/>
  </property>
  <property fmtid="{D5CDD505-2E9C-101B-9397-08002B2CF9AE}" pid="5" name="NhoMmdCaseWorker">
    <vt:lpwstr>2991;#Kristin Sommer|52ae6294-c119-4fe6-9a55-6a73bace0d73</vt:lpwstr>
  </property>
  <property fmtid="{D5CDD505-2E9C-101B-9397-08002B2CF9AE}" pid="6" name="_dlc_DocIdItemGuid">
    <vt:lpwstr>7070d7de-0041-42eb-acc2-fcaeac7d344b</vt:lpwstr>
  </property>
  <property fmtid="{D5CDD505-2E9C-101B-9397-08002B2CF9AE}" pid="7" name="NHO_OrganisationUnit">
    <vt:lpwstr>1140;#Norsk olje og gass|cb1b13eb-8e47-4d30-9a54-b74a620ca936</vt:lpwstr>
  </property>
</Properties>
</file>